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58B8D" w14:textId="1DD8F7D7" w:rsidR="00BE2CB0" w:rsidRPr="008048D3" w:rsidRDefault="00BE2CB0" w:rsidP="00DE058E">
      <w:pPr>
        <w:tabs>
          <w:tab w:val="left" w:pos="540"/>
          <w:tab w:val="left" w:pos="959"/>
        </w:tabs>
        <w:jc w:val="both"/>
        <w:rPr>
          <w:rFonts w:ascii="Verdana" w:hAnsi="Verdana" w:cs="Arial"/>
          <w:b/>
          <w:sz w:val="16"/>
          <w:szCs w:val="16"/>
          <w:lang w:val="lt-LT"/>
        </w:rPr>
      </w:pPr>
      <w:bookmarkStart w:id="0" w:name="_Toc512246367"/>
      <w:r w:rsidRPr="008048D3">
        <w:rPr>
          <w:rStyle w:val="Heading1Char"/>
          <w:lang w:val="lt-LT"/>
        </w:rPr>
        <w:t>II.</w:t>
      </w:r>
      <w:r w:rsidRPr="008048D3">
        <w:rPr>
          <w:rStyle w:val="Heading1Char"/>
          <w:lang w:val="lt-LT"/>
        </w:rPr>
        <w:tab/>
      </w:r>
      <w:r w:rsidR="00FC2328" w:rsidRPr="008048D3">
        <w:rPr>
          <w:rStyle w:val="Heading1Char"/>
          <w:lang w:val="lt-LT"/>
        </w:rPr>
        <w:t xml:space="preserve">SANTRAUKA </w:t>
      </w:r>
      <w:bookmarkEnd w:id="0"/>
    </w:p>
    <w:p w14:paraId="41E76A8D" w14:textId="77777777" w:rsidR="00D70294" w:rsidRPr="008048D3" w:rsidRDefault="00D70294" w:rsidP="00DE058E">
      <w:pPr>
        <w:tabs>
          <w:tab w:val="left" w:pos="540"/>
          <w:tab w:val="left" w:pos="959"/>
        </w:tabs>
        <w:jc w:val="both"/>
        <w:rPr>
          <w:rFonts w:ascii="Verdana" w:hAnsi="Verdana" w:cs="Arial"/>
          <w:b/>
          <w:sz w:val="16"/>
          <w:szCs w:val="16"/>
          <w:lang w:val="lt-LT"/>
        </w:rPr>
      </w:pPr>
    </w:p>
    <w:p w14:paraId="7C1AE06B" w14:textId="124D0132" w:rsidR="001474B2" w:rsidRPr="008048D3" w:rsidRDefault="001474B2" w:rsidP="001474B2">
      <w:pPr>
        <w:tabs>
          <w:tab w:val="left" w:pos="7320"/>
        </w:tabs>
        <w:jc w:val="both"/>
        <w:rPr>
          <w:rFonts w:ascii="Verdana" w:hAnsi="Verdana" w:cs="Arial"/>
          <w:sz w:val="16"/>
          <w:szCs w:val="16"/>
          <w:lang w:val="lt-LT"/>
        </w:rPr>
      </w:pPr>
      <w:r w:rsidRPr="008048D3">
        <w:rPr>
          <w:rFonts w:ascii="Verdana" w:hAnsi="Verdana" w:cs="Arial"/>
          <w:sz w:val="16"/>
          <w:szCs w:val="16"/>
          <w:lang w:val="lt-LT"/>
        </w:rPr>
        <w:t xml:space="preserve">Ši Santrauka (toliau – </w:t>
      </w:r>
      <w:r w:rsidRPr="008048D3">
        <w:rPr>
          <w:rFonts w:ascii="Verdana" w:hAnsi="Verdana" w:cs="Arial"/>
          <w:b/>
          <w:sz w:val="16"/>
          <w:szCs w:val="16"/>
          <w:lang w:val="lt-LT"/>
        </w:rPr>
        <w:t>Santrauka</w:t>
      </w:r>
      <w:r w:rsidRPr="008048D3">
        <w:rPr>
          <w:rFonts w:ascii="Verdana" w:hAnsi="Verdana" w:cs="Arial"/>
          <w:sz w:val="16"/>
          <w:szCs w:val="16"/>
          <w:lang w:val="lt-LT"/>
        </w:rPr>
        <w:t xml:space="preserve">) </w:t>
      </w:r>
      <w:r w:rsidR="00DA1D46" w:rsidRPr="008048D3">
        <w:rPr>
          <w:rFonts w:ascii="Verdana" w:hAnsi="Verdana" w:cs="Arial"/>
          <w:sz w:val="16"/>
          <w:szCs w:val="16"/>
          <w:lang w:val="lt-LT"/>
        </w:rPr>
        <w:t xml:space="preserve">yra viešo siūlymo (toliau – </w:t>
      </w:r>
      <w:r w:rsidR="00DA1D46" w:rsidRPr="008048D3">
        <w:rPr>
          <w:rFonts w:ascii="Verdana" w:hAnsi="Verdana" w:cs="Arial"/>
          <w:b/>
          <w:sz w:val="16"/>
          <w:szCs w:val="16"/>
          <w:lang w:val="lt-LT"/>
        </w:rPr>
        <w:t>Siūlymas</w:t>
      </w:r>
      <w:r w:rsidR="00DA1D46" w:rsidRPr="008048D3">
        <w:rPr>
          <w:rFonts w:ascii="Verdana" w:hAnsi="Verdana" w:cs="Arial"/>
          <w:sz w:val="16"/>
          <w:szCs w:val="16"/>
          <w:lang w:val="lt-LT"/>
        </w:rPr>
        <w:t xml:space="preserve">), kuriuo siūloma AUGA </w:t>
      </w:r>
      <w:proofErr w:type="spellStart"/>
      <w:r w:rsidR="00DA1D46" w:rsidRPr="008048D3">
        <w:rPr>
          <w:rFonts w:ascii="Verdana" w:hAnsi="Verdana" w:cs="Arial"/>
          <w:sz w:val="16"/>
          <w:szCs w:val="16"/>
          <w:lang w:val="lt-LT"/>
        </w:rPr>
        <w:t>group</w:t>
      </w:r>
      <w:proofErr w:type="spellEnd"/>
      <w:r w:rsidR="00DA1D46" w:rsidRPr="008048D3">
        <w:rPr>
          <w:rFonts w:ascii="Verdana" w:hAnsi="Verdana" w:cs="Arial"/>
          <w:sz w:val="16"/>
          <w:szCs w:val="16"/>
          <w:lang w:val="lt-LT"/>
        </w:rPr>
        <w:t xml:space="preserve">, AB (toliau – </w:t>
      </w:r>
      <w:r w:rsidR="00DA1D46" w:rsidRPr="008048D3">
        <w:rPr>
          <w:rFonts w:ascii="Verdana" w:hAnsi="Verdana" w:cs="Arial"/>
          <w:b/>
          <w:sz w:val="16"/>
          <w:szCs w:val="16"/>
          <w:lang w:val="lt-LT"/>
        </w:rPr>
        <w:t>Emitentas</w:t>
      </w:r>
      <w:r w:rsidR="00DA1D46" w:rsidRPr="008048D3">
        <w:rPr>
          <w:rFonts w:ascii="Verdana" w:hAnsi="Verdana" w:cs="Arial"/>
          <w:sz w:val="16"/>
          <w:szCs w:val="16"/>
          <w:lang w:val="lt-LT"/>
        </w:rPr>
        <w:t xml:space="preserve"> arba </w:t>
      </w:r>
      <w:r w:rsidR="00DA1D46" w:rsidRPr="008048D3">
        <w:rPr>
          <w:rFonts w:ascii="Verdana" w:hAnsi="Verdana" w:cs="Arial"/>
          <w:b/>
          <w:sz w:val="16"/>
          <w:szCs w:val="16"/>
          <w:lang w:val="lt-LT"/>
        </w:rPr>
        <w:t>Bendrovė</w:t>
      </w:r>
      <w:r w:rsidR="00DA1D46" w:rsidRPr="008048D3">
        <w:rPr>
          <w:rFonts w:ascii="Verdana" w:hAnsi="Verdana" w:cs="Arial"/>
          <w:sz w:val="16"/>
          <w:szCs w:val="16"/>
          <w:lang w:val="lt-LT"/>
        </w:rPr>
        <w:t xml:space="preserve">, Bendrovė kartu su jos Dukterinėmis įmonėmis vadinama </w:t>
      </w:r>
      <w:r w:rsidR="00DA1D46" w:rsidRPr="008048D3">
        <w:rPr>
          <w:rFonts w:ascii="Verdana" w:hAnsi="Verdana" w:cs="Arial"/>
          <w:b/>
          <w:sz w:val="16"/>
          <w:szCs w:val="16"/>
          <w:lang w:val="lt-LT"/>
        </w:rPr>
        <w:t>Grupe</w:t>
      </w:r>
      <w:r w:rsidR="00DA1D46" w:rsidRPr="008048D3">
        <w:rPr>
          <w:rFonts w:ascii="Verdana" w:hAnsi="Verdana" w:cs="Arial"/>
          <w:sz w:val="16"/>
          <w:szCs w:val="16"/>
          <w:lang w:val="lt-LT"/>
        </w:rPr>
        <w:t xml:space="preserve">) </w:t>
      </w:r>
      <w:r w:rsidRPr="008048D3">
        <w:rPr>
          <w:rFonts w:ascii="Verdana" w:hAnsi="Verdana" w:cs="Arial"/>
          <w:sz w:val="16"/>
          <w:szCs w:val="16"/>
          <w:lang w:val="lt-LT"/>
        </w:rPr>
        <w:t>i</w:t>
      </w:r>
      <w:r w:rsidR="00DA1D46" w:rsidRPr="008048D3">
        <w:rPr>
          <w:rFonts w:ascii="Verdana" w:hAnsi="Verdana" w:cs="Arial"/>
          <w:sz w:val="16"/>
          <w:szCs w:val="16"/>
          <w:lang w:val="lt-LT"/>
        </w:rPr>
        <w:t>ki</w:t>
      </w:r>
      <w:r w:rsidRPr="008048D3">
        <w:rPr>
          <w:rFonts w:ascii="Verdana" w:hAnsi="Verdana" w:cs="Arial"/>
          <w:sz w:val="16"/>
          <w:szCs w:val="16"/>
          <w:lang w:val="lt-LT"/>
        </w:rPr>
        <w:t xml:space="preserve"> 40</w:t>
      </w:r>
      <w:r w:rsidR="00DA1D46" w:rsidRPr="008048D3">
        <w:rPr>
          <w:rFonts w:ascii="Verdana" w:hAnsi="Verdana" w:cs="Arial"/>
          <w:sz w:val="16"/>
          <w:szCs w:val="16"/>
          <w:lang w:val="lt-LT"/>
        </w:rPr>
        <w:t> </w:t>
      </w:r>
      <w:r w:rsidRPr="008048D3">
        <w:rPr>
          <w:rFonts w:ascii="Verdana" w:hAnsi="Verdana" w:cs="Arial"/>
          <w:sz w:val="16"/>
          <w:szCs w:val="16"/>
          <w:lang w:val="lt-LT"/>
        </w:rPr>
        <w:t>000</w:t>
      </w:r>
      <w:r w:rsidR="00DA1D46" w:rsidRPr="008048D3">
        <w:rPr>
          <w:rFonts w:ascii="Verdana" w:hAnsi="Verdana" w:cs="Arial"/>
          <w:sz w:val="16"/>
          <w:szCs w:val="16"/>
          <w:lang w:val="lt-LT"/>
        </w:rPr>
        <w:t> </w:t>
      </w:r>
      <w:r w:rsidRPr="008048D3">
        <w:rPr>
          <w:rFonts w:ascii="Verdana" w:hAnsi="Verdana" w:cs="Arial"/>
          <w:sz w:val="16"/>
          <w:szCs w:val="16"/>
          <w:lang w:val="lt-LT"/>
        </w:rPr>
        <w:t xml:space="preserve">000 </w:t>
      </w:r>
      <w:r w:rsidR="00DA1D46" w:rsidRPr="008048D3">
        <w:rPr>
          <w:rFonts w:ascii="Verdana" w:hAnsi="Verdana" w:cs="Arial"/>
          <w:sz w:val="16"/>
          <w:szCs w:val="16"/>
          <w:lang w:val="lt-LT"/>
        </w:rPr>
        <w:t xml:space="preserve">naujai išleidžiamų akcijų </w:t>
      </w:r>
      <w:r w:rsidRPr="008048D3">
        <w:rPr>
          <w:rFonts w:ascii="Verdana" w:hAnsi="Verdana" w:cs="Arial"/>
          <w:sz w:val="16"/>
          <w:szCs w:val="16"/>
          <w:lang w:val="lt-LT"/>
        </w:rPr>
        <w:t>(t</w:t>
      </w:r>
      <w:r w:rsidR="00DA1D46" w:rsidRPr="008048D3">
        <w:rPr>
          <w:rFonts w:ascii="Verdana" w:hAnsi="Verdana" w:cs="Arial"/>
          <w:sz w:val="16"/>
          <w:szCs w:val="16"/>
          <w:lang w:val="lt-LT"/>
        </w:rPr>
        <w:t xml:space="preserve">oliau – </w:t>
      </w:r>
      <w:r w:rsidRPr="008048D3">
        <w:rPr>
          <w:rFonts w:ascii="Verdana" w:hAnsi="Verdana" w:cs="Arial"/>
          <w:b/>
          <w:sz w:val="16"/>
          <w:szCs w:val="16"/>
          <w:lang w:val="lt-LT"/>
        </w:rPr>
        <w:t>N</w:t>
      </w:r>
      <w:r w:rsidR="00DA1D46" w:rsidRPr="008048D3">
        <w:rPr>
          <w:rFonts w:ascii="Verdana" w:hAnsi="Verdana" w:cs="Arial"/>
          <w:b/>
          <w:sz w:val="16"/>
          <w:szCs w:val="16"/>
          <w:lang w:val="lt-LT"/>
        </w:rPr>
        <w:t>aujos akcijos</w:t>
      </w:r>
      <w:r w:rsidRPr="008048D3">
        <w:rPr>
          <w:rFonts w:ascii="Verdana" w:hAnsi="Verdana" w:cs="Arial"/>
          <w:sz w:val="16"/>
          <w:szCs w:val="16"/>
          <w:lang w:val="lt-LT"/>
        </w:rPr>
        <w:t xml:space="preserve">) </w:t>
      </w:r>
      <w:r w:rsidR="00DA1D46" w:rsidRPr="008048D3">
        <w:rPr>
          <w:rFonts w:ascii="Verdana" w:hAnsi="Verdana" w:cs="Arial"/>
          <w:sz w:val="16"/>
          <w:szCs w:val="16"/>
          <w:lang w:val="lt-LT"/>
        </w:rPr>
        <w:t xml:space="preserve">ir iki </w:t>
      </w:r>
      <w:r w:rsidRPr="008048D3">
        <w:rPr>
          <w:rFonts w:ascii="Verdana" w:hAnsi="Verdana" w:cs="Arial"/>
          <w:sz w:val="16"/>
          <w:szCs w:val="16"/>
          <w:lang w:val="lt-LT"/>
        </w:rPr>
        <w:t>20</w:t>
      </w:r>
      <w:r w:rsidR="00DA1D46" w:rsidRPr="008048D3">
        <w:rPr>
          <w:rFonts w:ascii="Verdana" w:hAnsi="Verdana" w:cs="Arial"/>
          <w:sz w:val="16"/>
          <w:szCs w:val="16"/>
          <w:lang w:val="lt-LT"/>
        </w:rPr>
        <w:t> </w:t>
      </w:r>
      <w:r w:rsidRPr="008048D3">
        <w:rPr>
          <w:rFonts w:ascii="Verdana" w:hAnsi="Verdana" w:cs="Arial"/>
          <w:sz w:val="16"/>
          <w:szCs w:val="16"/>
          <w:lang w:val="lt-LT"/>
        </w:rPr>
        <w:t>000</w:t>
      </w:r>
      <w:r w:rsidR="00DA1D46" w:rsidRPr="008048D3">
        <w:rPr>
          <w:rFonts w:ascii="Verdana" w:hAnsi="Verdana" w:cs="Arial"/>
          <w:sz w:val="16"/>
          <w:szCs w:val="16"/>
          <w:lang w:val="lt-LT"/>
        </w:rPr>
        <w:t xml:space="preserve"> </w:t>
      </w:r>
      <w:r w:rsidRPr="008048D3">
        <w:rPr>
          <w:rFonts w:ascii="Verdana" w:hAnsi="Verdana" w:cs="Arial"/>
          <w:sz w:val="16"/>
          <w:szCs w:val="16"/>
          <w:lang w:val="lt-LT"/>
        </w:rPr>
        <w:t xml:space="preserve">000 </w:t>
      </w:r>
      <w:r w:rsidR="00DA1D46" w:rsidRPr="008048D3">
        <w:rPr>
          <w:rFonts w:ascii="Verdana" w:hAnsi="Verdana" w:cs="Arial"/>
          <w:sz w:val="16"/>
          <w:szCs w:val="16"/>
          <w:lang w:val="lt-LT"/>
        </w:rPr>
        <w:t xml:space="preserve">esamų akcijų </w:t>
      </w:r>
      <w:r w:rsidRPr="008048D3">
        <w:rPr>
          <w:rFonts w:ascii="Verdana" w:hAnsi="Verdana" w:cs="Arial"/>
          <w:sz w:val="16"/>
          <w:szCs w:val="16"/>
          <w:lang w:val="lt-LT"/>
        </w:rPr>
        <w:t>(t</w:t>
      </w:r>
      <w:r w:rsidR="00DA1D46" w:rsidRPr="008048D3">
        <w:rPr>
          <w:rFonts w:ascii="Verdana" w:hAnsi="Verdana" w:cs="Arial"/>
          <w:sz w:val="16"/>
          <w:szCs w:val="16"/>
          <w:lang w:val="lt-LT"/>
        </w:rPr>
        <w:t xml:space="preserve">oliau – </w:t>
      </w:r>
      <w:r w:rsidR="00DA1D46" w:rsidRPr="008048D3">
        <w:rPr>
          <w:rFonts w:ascii="Verdana" w:hAnsi="Verdana" w:cs="Arial"/>
          <w:b/>
          <w:sz w:val="16"/>
          <w:szCs w:val="16"/>
          <w:lang w:val="lt-LT"/>
        </w:rPr>
        <w:t>Parduodamos akcijos</w:t>
      </w:r>
      <w:r w:rsidRPr="008048D3">
        <w:rPr>
          <w:rFonts w:ascii="Verdana" w:hAnsi="Verdana" w:cs="Arial"/>
          <w:sz w:val="16"/>
          <w:szCs w:val="16"/>
          <w:lang w:val="lt-LT"/>
        </w:rPr>
        <w:t>, N</w:t>
      </w:r>
      <w:r w:rsidR="00CE5FEE" w:rsidRPr="008048D3">
        <w:rPr>
          <w:rFonts w:ascii="Verdana" w:hAnsi="Verdana" w:cs="Arial"/>
          <w:sz w:val="16"/>
          <w:szCs w:val="16"/>
          <w:lang w:val="lt-LT"/>
        </w:rPr>
        <w:t xml:space="preserve">aujos akcijos kartu su Parduodamomis akcijomis vadinamos </w:t>
      </w:r>
      <w:r w:rsidR="00CE5FEE" w:rsidRPr="008048D3">
        <w:rPr>
          <w:rFonts w:ascii="Verdana" w:hAnsi="Verdana" w:cs="Arial"/>
          <w:b/>
          <w:sz w:val="16"/>
          <w:szCs w:val="16"/>
          <w:lang w:val="lt-LT"/>
        </w:rPr>
        <w:t>Siūlomomis akcijomis</w:t>
      </w:r>
      <w:r w:rsidRPr="008048D3">
        <w:rPr>
          <w:rFonts w:ascii="Verdana" w:hAnsi="Verdana" w:cs="Arial"/>
          <w:sz w:val="16"/>
          <w:szCs w:val="16"/>
          <w:lang w:val="lt-LT"/>
        </w:rPr>
        <w:t>)</w:t>
      </w:r>
      <w:r w:rsidR="00EE2CE7" w:rsidRPr="008048D3">
        <w:rPr>
          <w:rFonts w:ascii="Verdana" w:hAnsi="Verdana" w:cs="Arial"/>
          <w:sz w:val="16"/>
          <w:szCs w:val="16"/>
          <w:lang w:val="lt-LT"/>
        </w:rPr>
        <w:t xml:space="preserve">, kurių kiekvienos </w:t>
      </w:r>
      <w:r w:rsidRPr="008048D3">
        <w:rPr>
          <w:rFonts w:ascii="Verdana" w:hAnsi="Verdana" w:cs="Arial"/>
          <w:sz w:val="16"/>
          <w:szCs w:val="16"/>
          <w:lang w:val="lt-LT"/>
        </w:rPr>
        <w:t>nominal</w:t>
      </w:r>
      <w:r w:rsidR="00EE2CE7" w:rsidRPr="008048D3">
        <w:rPr>
          <w:rFonts w:ascii="Verdana" w:hAnsi="Verdana" w:cs="Arial"/>
          <w:sz w:val="16"/>
          <w:szCs w:val="16"/>
          <w:lang w:val="lt-LT"/>
        </w:rPr>
        <w:t>i</w:t>
      </w:r>
      <w:r w:rsidRPr="008048D3">
        <w:rPr>
          <w:rFonts w:ascii="Verdana" w:hAnsi="Verdana" w:cs="Arial"/>
          <w:sz w:val="16"/>
          <w:szCs w:val="16"/>
          <w:lang w:val="lt-LT"/>
        </w:rPr>
        <w:t xml:space="preserve"> v</w:t>
      </w:r>
      <w:r w:rsidR="00EE2CE7" w:rsidRPr="008048D3">
        <w:rPr>
          <w:rFonts w:ascii="Verdana" w:hAnsi="Verdana" w:cs="Arial"/>
          <w:sz w:val="16"/>
          <w:szCs w:val="16"/>
          <w:lang w:val="lt-LT"/>
        </w:rPr>
        <w:t xml:space="preserve">ertė yra </w:t>
      </w:r>
      <w:r w:rsidRPr="008048D3">
        <w:rPr>
          <w:rFonts w:ascii="Verdana" w:hAnsi="Verdana" w:cs="Arial"/>
          <w:sz w:val="16"/>
          <w:szCs w:val="16"/>
          <w:lang w:val="lt-LT"/>
        </w:rPr>
        <w:t>0</w:t>
      </w:r>
      <w:r w:rsidR="00EE2CE7" w:rsidRPr="008048D3">
        <w:rPr>
          <w:rFonts w:ascii="Verdana" w:hAnsi="Verdana" w:cs="Arial"/>
          <w:sz w:val="16"/>
          <w:szCs w:val="16"/>
          <w:lang w:val="lt-LT"/>
        </w:rPr>
        <w:t>,</w:t>
      </w:r>
      <w:r w:rsidRPr="008048D3">
        <w:rPr>
          <w:rFonts w:ascii="Verdana" w:hAnsi="Verdana" w:cs="Arial"/>
          <w:sz w:val="16"/>
          <w:szCs w:val="16"/>
          <w:lang w:val="lt-LT"/>
        </w:rPr>
        <w:t xml:space="preserve">29 </w:t>
      </w:r>
      <w:r w:rsidR="00EE2CE7" w:rsidRPr="008048D3">
        <w:rPr>
          <w:rFonts w:ascii="Verdana" w:hAnsi="Verdana" w:cs="Arial"/>
          <w:sz w:val="16"/>
          <w:szCs w:val="16"/>
          <w:lang w:val="lt-LT"/>
        </w:rPr>
        <w:t>EUR</w:t>
      </w:r>
      <w:r w:rsidRPr="008048D3">
        <w:rPr>
          <w:rFonts w:ascii="Verdana" w:hAnsi="Verdana" w:cs="Arial"/>
          <w:sz w:val="16"/>
          <w:szCs w:val="16"/>
          <w:lang w:val="lt-LT"/>
        </w:rPr>
        <w:t xml:space="preserve">, </w:t>
      </w:r>
      <w:r w:rsidR="00EE2CE7" w:rsidRPr="008048D3">
        <w:rPr>
          <w:rFonts w:ascii="Verdana" w:hAnsi="Verdana" w:cs="Arial"/>
          <w:sz w:val="16"/>
          <w:szCs w:val="16"/>
          <w:lang w:val="lt-LT"/>
        </w:rPr>
        <w:t xml:space="preserve">ir iki 40 000 000 Naujų akcijų įtraukimo </w:t>
      </w:r>
      <w:r w:rsidRPr="008048D3">
        <w:rPr>
          <w:rFonts w:ascii="Verdana" w:hAnsi="Verdana" w:cs="Arial"/>
          <w:sz w:val="16"/>
          <w:szCs w:val="16"/>
          <w:lang w:val="lt-LT"/>
        </w:rPr>
        <w:t>(t</w:t>
      </w:r>
      <w:r w:rsidR="00EE2CE7" w:rsidRPr="008048D3">
        <w:rPr>
          <w:rFonts w:ascii="Verdana" w:hAnsi="Verdana" w:cs="Arial"/>
          <w:sz w:val="16"/>
          <w:szCs w:val="16"/>
          <w:lang w:val="lt-LT"/>
        </w:rPr>
        <w:t xml:space="preserve">oliau – </w:t>
      </w:r>
      <w:r w:rsidR="00EE2CE7" w:rsidRPr="008048D3">
        <w:rPr>
          <w:rFonts w:ascii="Verdana" w:hAnsi="Verdana" w:cs="Arial"/>
          <w:b/>
          <w:sz w:val="16"/>
          <w:szCs w:val="16"/>
          <w:lang w:val="lt-LT"/>
        </w:rPr>
        <w:t>Įtraukimas</w:t>
      </w:r>
      <w:r w:rsidRPr="008048D3">
        <w:rPr>
          <w:rFonts w:ascii="Verdana" w:hAnsi="Verdana" w:cs="Arial"/>
          <w:sz w:val="16"/>
          <w:szCs w:val="16"/>
          <w:lang w:val="lt-LT"/>
        </w:rPr>
        <w:t xml:space="preserve">) </w:t>
      </w:r>
      <w:r w:rsidR="00EE2CE7" w:rsidRPr="008048D3">
        <w:rPr>
          <w:rFonts w:ascii="Verdana" w:hAnsi="Verdana" w:cs="Arial"/>
          <w:sz w:val="16"/>
          <w:szCs w:val="16"/>
          <w:lang w:val="lt-LT"/>
        </w:rPr>
        <w:t xml:space="preserve">į prekybą </w:t>
      </w:r>
      <w:proofErr w:type="spellStart"/>
      <w:r w:rsidRPr="008048D3">
        <w:rPr>
          <w:rFonts w:ascii="Verdana" w:hAnsi="Verdana" w:cs="Arial"/>
          <w:sz w:val="16"/>
          <w:szCs w:val="16"/>
          <w:lang w:val="lt-LT"/>
        </w:rPr>
        <w:t>Nasdaq</w:t>
      </w:r>
      <w:proofErr w:type="spellEnd"/>
      <w:r w:rsidRPr="008048D3">
        <w:rPr>
          <w:rFonts w:ascii="Verdana" w:hAnsi="Verdana" w:cs="Arial"/>
          <w:sz w:val="16"/>
          <w:szCs w:val="16"/>
          <w:lang w:val="lt-LT"/>
        </w:rPr>
        <w:t xml:space="preserve"> Vilnius (</w:t>
      </w:r>
      <w:r w:rsidR="00EE2CE7" w:rsidRPr="008048D3">
        <w:rPr>
          <w:rFonts w:ascii="Verdana" w:hAnsi="Verdana" w:cs="Arial"/>
          <w:sz w:val="16"/>
          <w:szCs w:val="16"/>
          <w:lang w:val="lt-LT"/>
        </w:rPr>
        <w:t xml:space="preserve">toliau – </w:t>
      </w:r>
      <w:proofErr w:type="spellStart"/>
      <w:r w:rsidRPr="008048D3">
        <w:rPr>
          <w:rFonts w:ascii="Verdana" w:hAnsi="Verdana" w:cs="Arial"/>
          <w:b/>
          <w:sz w:val="16"/>
          <w:szCs w:val="16"/>
          <w:lang w:val="lt-LT"/>
        </w:rPr>
        <w:t>Nasdaq</w:t>
      </w:r>
      <w:proofErr w:type="spellEnd"/>
      <w:r w:rsidRPr="008048D3">
        <w:rPr>
          <w:rFonts w:ascii="Verdana" w:hAnsi="Verdana" w:cs="Arial"/>
          <w:b/>
          <w:sz w:val="16"/>
          <w:szCs w:val="16"/>
          <w:lang w:val="lt-LT"/>
        </w:rPr>
        <w:t xml:space="preserve"> Vilnius</w:t>
      </w:r>
      <w:r w:rsidRPr="008048D3">
        <w:rPr>
          <w:rFonts w:ascii="Verdana" w:hAnsi="Verdana" w:cs="Arial"/>
          <w:sz w:val="16"/>
          <w:szCs w:val="16"/>
          <w:lang w:val="lt-LT"/>
        </w:rPr>
        <w:t xml:space="preserve">) </w:t>
      </w:r>
      <w:r w:rsidR="00EE2CE7" w:rsidRPr="008048D3">
        <w:rPr>
          <w:rFonts w:ascii="Verdana" w:hAnsi="Verdana" w:cs="Arial"/>
          <w:sz w:val="16"/>
          <w:szCs w:val="16"/>
          <w:lang w:val="lt-LT"/>
        </w:rPr>
        <w:t xml:space="preserve">ir Varšuvos vertybinių popierių biržoje </w:t>
      </w:r>
      <w:r w:rsidRPr="008048D3">
        <w:rPr>
          <w:rFonts w:ascii="Verdana" w:hAnsi="Verdana" w:cs="Arial"/>
          <w:sz w:val="16"/>
          <w:szCs w:val="16"/>
          <w:lang w:val="lt-LT"/>
        </w:rPr>
        <w:t>(</w:t>
      </w:r>
      <w:r w:rsidR="00EE2CE7" w:rsidRPr="008048D3">
        <w:rPr>
          <w:rFonts w:ascii="Verdana" w:hAnsi="Verdana" w:cs="Arial"/>
          <w:sz w:val="16"/>
          <w:szCs w:val="16"/>
          <w:lang w:val="lt-LT"/>
        </w:rPr>
        <w:t xml:space="preserve">toliau – </w:t>
      </w:r>
      <w:r w:rsidR="00351270" w:rsidRPr="008048D3">
        <w:rPr>
          <w:rFonts w:ascii="Verdana" w:hAnsi="Verdana" w:cs="Arial"/>
          <w:b/>
          <w:sz w:val="16"/>
          <w:szCs w:val="16"/>
          <w:lang w:val="lt-LT"/>
        </w:rPr>
        <w:t>WSE</w:t>
      </w:r>
      <w:r w:rsidRPr="008048D3">
        <w:rPr>
          <w:rFonts w:ascii="Verdana" w:hAnsi="Verdana" w:cs="Arial"/>
          <w:sz w:val="16"/>
          <w:szCs w:val="16"/>
          <w:lang w:val="lt-LT"/>
        </w:rPr>
        <w:t>)</w:t>
      </w:r>
      <w:r w:rsidR="00DA1D46" w:rsidRPr="008048D3">
        <w:rPr>
          <w:rFonts w:ascii="Verdana" w:hAnsi="Verdana" w:cs="Arial"/>
          <w:sz w:val="16"/>
          <w:szCs w:val="16"/>
          <w:lang w:val="lt-LT"/>
        </w:rPr>
        <w:t xml:space="preserve"> Prospekte (toliau – </w:t>
      </w:r>
      <w:r w:rsidR="00DA1D46" w:rsidRPr="008048D3">
        <w:rPr>
          <w:rFonts w:ascii="Verdana" w:hAnsi="Verdana" w:cs="Arial"/>
          <w:b/>
          <w:sz w:val="16"/>
          <w:szCs w:val="16"/>
          <w:lang w:val="lt-LT"/>
        </w:rPr>
        <w:t>Prospektas</w:t>
      </w:r>
      <w:r w:rsidR="00DA1D46" w:rsidRPr="008048D3">
        <w:rPr>
          <w:rFonts w:ascii="Verdana" w:hAnsi="Verdana" w:cs="Arial"/>
          <w:sz w:val="16"/>
          <w:szCs w:val="16"/>
          <w:lang w:val="lt-LT"/>
        </w:rPr>
        <w:t>) atskleidžiamos informacijos trumpa apžvalga</w:t>
      </w:r>
      <w:r w:rsidRPr="008048D3">
        <w:rPr>
          <w:rFonts w:ascii="Verdana" w:hAnsi="Verdana" w:cs="Arial"/>
          <w:sz w:val="16"/>
          <w:szCs w:val="16"/>
          <w:lang w:val="lt-LT"/>
        </w:rPr>
        <w:t>.</w:t>
      </w:r>
    </w:p>
    <w:p w14:paraId="2DADC12B" w14:textId="77777777" w:rsidR="001474B2" w:rsidRPr="008048D3" w:rsidRDefault="001474B2" w:rsidP="00DE058E">
      <w:pPr>
        <w:tabs>
          <w:tab w:val="left" w:pos="7320"/>
        </w:tabs>
        <w:jc w:val="both"/>
        <w:rPr>
          <w:rFonts w:ascii="Verdana" w:hAnsi="Verdana" w:cs="Arial"/>
          <w:sz w:val="16"/>
          <w:szCs w:val="16"/>
          <w:lang w:val="lt-LT"/>
        </w:rPr>
      </w:pPr>
    </w:p>
    <w:p w14:paraId="65EF8441" w14:textId="2B080F24" w:rsidR="00D70294" w:rsidRPr="008048D3" w:rsidRDefault="00D924BF" w:rsidP="00DE058E">
      <w:pPr>
        <w:tabs>
          <w:tab w:val="left" w:pos="7320"/>
        </w:tabs>
        <w:jc w:val="both"/>
        <w:rPr>
          <w:rFonts w:ascii="Verdana" w:hAnsi="Verdana" w:cs="Arial"/>
          <w:sz w:val="16"/>
          <w:szCs w:val="16"/>
          <w:lang w:val="lt-LT"/>
        </w:rPr>
      </w:pPr>
      <w:r w:rsidRPr="008048D3">
        <w:rPr>
          <w:rFonts w:ascii="Verdana" w:hAnsi="Verdana" w:cs="Arial"/>
          <w:sz w:val="16"/>
          <w:szCs w:val="16"/>
          <w:lang w:val="lt-LT"/>
        </w:rPr>
        <w:t xml:space="preserve">Šią Santrauką sudaro informacijos atskleidimo reikalavimai, vadinami „Punktais“, sudaryti pagal Prospekto reglamento XXII priedą (Informacijos atskleidimo reikalavimai santraukose). Šie Punktai yra sunumeruoti toliau pateiktuose A – E (A.1 – E.7) skirsniuose. Ši </w:t>
      </w:r>
      <w:r w:rsidR="000035B9" w:rsidRPr="008048D3">
        <w:rPr>
          <w:rFonts w:ascii="Verdana" w:hAnsi="Verdana" w:cs="Arial"/>
          <w:sz w:val="16"/>
          <w:szCs w:val="16"/>
          <w:lang w:val="lt-LT"/>
        </w:rPr>
        <w:t xml:space="preserve">Santrauka </w:t>
      </w:r>
      <w:bookmarkStart w:id="1" w:name="_GoBack"/>
      <w:bookmarkEnd w:id="1"/>
      <w:r w:rsidRPr="008048D3">
        <w:rPr>
          <w:rFonts w:ascii="Verdana" w:hAnsi="Verdana" w:cs="Arial"/>
          <w:sz w:val="16"/>
          <w:szCs w:val="16"/>
          <w:lang w:val="lt-LT"/>
        </w:rPr>
        <w:t xml:space="preserve">apima visus Punktus, kuriuos yra būtina įtraukti į </w:t>
      </w:r>
      <w:r w:rsidR="00A479B2" w:rsidRPr="008048D3">
        <w:rPr>
          <w:rFonts w:ascii="Verdana" w:hAnsi="Verdana" w:cs="Arial"/>
          <w:sz w:val="16"/>
          <w:szCs w:val="16"/>
          <w:lang w:val="lt-LT"/>
        </w:rPr>
        <w:t xml:space="preserve">santrauką </w:t>
      </w:r>
      <w:r w:rsidRPr="008048D3">
        <w:rPr>
          <w:rFonts w:ascii="Verdana" w:hAnsi="Verdana" w:cs="Arial"/>
          <w:sz w:val="16"/>
          <w:szCs w:val="16"/>
          <w:lang w:val="lt-LT"/>
        </w:rPr>
        <w:t xml:space="preserve">pagal šį vertybinių popierių ir emitento tipą. Kai kurių Punktų neprivaloma įtraukti, todėl </w:t>
      </w:r>
      <w:r w:rsidR="000035B9" w:rsidRPr="008048D3">
        <w:rPr>
          <w:rFonts w:ascii="Verdana" w:hAnsi="Verdana" w:cs="Arial"/>
          <w:sz w:val="16"/>
          <w:szCs w:val="16"/>
          <w:lang w:val="lt-LT"/>
        </w:rPr>
        <w:t xml:space="preserve">Santraukoje </w:t>
      </w:r>
      <w:r w:rsidRPr="008048D3">
        <w:rPr>
          <w:rFonts w:ascii="Verdana" w:hAnsi="Verdana" w:cs="Arial"/>
          <w:sz w:val="16"/>
          <w:szCs w:val="16"/>
          <w:lang w:val="lt-LT"/>
        </w:rPr>
        <w:t xml:space="preserve">gali būti Punktų sekos numeravimo spragų. Nors į </w:t>
      </w:r>
      <w:r w:rsidR="000035B9" w:rsidRPr="008048D3">
        <w:rPr>
          <w:rFonts w:ascii="Verdana" w:hAnsi="Verdana" w:cs="Arial"/>
          <w:sz w:val="16"/>
          <w:szCs w:val="16"/>
          <w:lang w:val="lt-LT"/>
        </w:rPr>
        <w:t xml:space="preserve">Santrauką </w:t>
      </w:r>
      <w:r w:rsidR="001736F1" w:rsidRPr="008048D3">
        <w:rPr>
          <w:rFonts w:ascii="Verdana" w:hAnsi="Verdana" w:cs="Arial"/>
          <w:sz w:val="16"/>
          <w:szCs w:val="16"/>
          <w:lang w:val="lt-LT"/>
        </w:rPr>
        <w:t xml:space="preserve">dėl vertybinių popierių ir emitento tipo </w:t>
      </w:r>
      <w:r w:rsidRPr="008048D3">
        <w:rPr>
          <w:rFonts w:ascii="Verdana" w:hAnsi="Verdana" w:cs="Arial"/>
          <w:sz w:val="16"/>
          <w:szCs w:val="16"/>
          <w:lang w:val="lt-LT"/>
        </w:rPr>
        <w:t xml:space="preserve">gali reikėti įterpti Punktą, tačiau apie tą Punktą gali </w:t>
      </w:r>
      <w:r w:rsidR="00A479B2" w:rsidRPr="008048D3">
        <w:rPr>
          <w:rFonts w:ascii="Verdana" w:hAnsi="Verdana" w:cs="Arial"/>
          <w:sz w:val="16"/>
          <w:szCs w:val="16"/>
          <w:lang w:val="lt-LT"/>
        </w:rPr>
        <w:t>ne</w:t>
      </w:r>
      <w:r w:rsidRPr="008048D3">
        <w:rPr>
          <w:rFonts w:ascii="Verdana" w:hAnsi="Verdana" w:cs="Arial"/>
          <w:sz w:val="16"/>
          <w:szCs w:val="16"/>
          <w:lang w:val="lt-LT"/>
        </w:rPr>
        <w:t>būti pateikt</w:t>
      </w:r>
      <w:r w:rsidR="00A479B2" w:rsidRPr="008048D3">
        <w:rPr>
          <w:rFonts w:ascii="Verdana" w:hAnsi="Verdana" w:cs="Arial"/>
          <w:sz w:val="16"/>
          <w:szCs w:val="16"/>
          <w:lang w:val="lt-LT"/>
        </w:rPr>
        <w:t>inos</w:t>
      </w:r>
      <w:r w:rsidRPr="008048D3">
        <w:rPr>
          <w:rFonts w:ascii="Verdana" w:hAnsi="Verdana" w:cs="Arial"/>
          <w:sz w:val="16"/>
          <w:szCs w:val="16"/>
          <w:lang w:val="lt-LT"/>
        </w:rPr>
        <w:t xml:space="preserve"> jokios susijusios informacijos. Tokiu atveju </w:t>
      </w:r>
      <w:r w:rsidR="000035B9" w:rsidRPr="008048D3">
        <w:rPr>
          <w:rFonts w:ascii="Verdana" w:hAnsi="Verdana" w:cs="Arial"/>
          <w:sz w:val="16"/>
          <w:szCs w:val="16"/>
          <w:lang w:val="lt-LT"/>
        </w:rPr>
        <w:t xml:space="preserve">Santraukoje </w:t>
      </w:r>
      <w:r w:rsidRPr="008048D3">
        <w:rPr>
          <w:rFonts w:ascii="Verdana" w:hAnsi="Verdana" w:cs="Arial"/>
          <w:sz w:val="16"/>
          <w:szCs w:val="16"/>
          <w:lang w:val="lt-LT"/>
        </w:rPr>
        <w:t xml:space="preserve">yra nurodomas trumpas Punkto apibūdinimas su prierašu „netaikoma“. Šioje </w:t>
      </w:r>
      <w:r w:rsidR="000035B9" w:rsidRPr="008048D3">
        <w:rPr>
          <w:rFonts w:ascii="Verdana" w:hAnsi="Verdana" w:cs="Arial"/>
          <w:sz w:val="16"/>
          <w:szCs w:val="16"/>
          <w:lang w:val="lt-LT"/>
        </w:rPr>
        <w:t xml:space="preserve">Santraukoje </w:t>
      </w:r>
      <w:r w:rsidRPr="008048D3">
        <w:rPr>
          <w:rFonts w:ascii="Verdana" w:hAnsi="Verdana" w:cs="Arial"/>
          <w:sz w:val="16"/>
          <w:szCs w:val="16"/>
          <w:lang w:val="lt-LT"/>
        </w:rPr>
        <w:t>sąvokos turi reikšmes, nurodyt</w:t>
      </w:r>
      <w:r w:rsidR="00A70749" w:rsidRPr="008048D3">
        <w:rPr>
          <w:rFonts w:ascii="Verdana" w:hAnsi="Verdana" w:cs="Arial"/>
          <w:sz w:val="16"/>
          <w:szCs w:val="16"/>
          <w:lang w:val="lt-LT"/>
        </w:rPr>
        <w:t>a</w:t>
      </w:r>
      <w:r w:rsidRPr="008048D3">
        <w:rPr>
          <w:rFonts w:ascii="Verdana" w:hAnsi="Verdana" w:cs="Arial"/>
          <w:sz w:val="16"/>
          <w:szCs w:val="16"/>
          <w:lang w:val="lt-LT"/>
        </w:rPr>
        <w:t xml:space="preserve">s 1.6 dalyje </w:t>
      </w:r>
      <w:r w:rsidR="004A6C78" w:rsidRPr="008048D3">
        <w:rPr>
          <w:rFonts w:ascii="Verdana" w:hAnsi="Verdana" w:cs="Arial"/>
          <w:sz w:val="16"/>
          <w:szCs w:val="16"/>
          <w:lang w:val="lt-LT"/>
        </w:rPr>
        <w:t>„</w:t>
      </w:r>
      <w:r w:rsidRPr="008048D3">
        <w:rPr>
          <w:rFonts w:ascii="Verdana" w:hAnsi="Verdana" w:cs="Arial"/>
          <w:i/>
          <w:sz w:val="16"/>
          <w:szCs w:val="16"/>
          <w:lang w:val="lt-LT"/>
        </w:rPr>
        <w:t xml:space="preserve">Sąvokos </w:t>
      </w:r>
      <w:r w:rsidR="00A6334E" w:rsidRPr="008048D3">
        <w:rPr>
          <w:rFonts w:ascii="Verdana" w:hAnsi="Verdana" w:cs="Arial"/>
          <w:i/>
          <w:sz w:val="16"/>
          <w:szCs w:val="16"/>
          <w:lang w:val="lt-LT"/>
        </w:rPr>
        <w:t>naudojamos prospekte</w:t>
      </w:r>
      <w:r w:rsidR="004A6C78" w:rsidRPr="008048D3">
        <w:rPr>
          <w:rFonts w:ascii="Verdana" w:hAnsi="Verdana" w:cs="Arial"/>
          <w:i/>
          <w:sz w:val="16"/>
          <w:szCs w:val="16"/>
          <w:lang w:val="lt-LT"/>
        </w:rPr>
        <w:t>“</w:t>
      </w:r>
      <w:r w:rsidRPr="008048D3">
        <w:rPr>
          <w:rFonts w:ascii="Verdana" w:hAnsi="Verdana" w:cs="Arial"/>
          <w:i/>
          <w:sz w:val="16"/>
          <w:szCs w:val="16"/>
          <w:lang w:val="lt-LT"/>
        </w:rPr>
        <w:t xml:space="preserve"> </w:t>
      </w:r>
      <w:r w:rsidRPr="008048D3">
        <w:rPr>
          <w:rFonts w:ascii="Verdana" w:hAnsi="Verdana" w:cs="Arial"/>
          <w:sz w:val="16"/>
          <w:szCs w:val="16"/>
          <w:lang w:val="lt-LT"/>
        </w:rPr>
        <w:t xml:space="preserve">(angl. </w:t>
      </w:r>
      <w:proofErr w:type="spellStart"/>
      <w:r w:rsidRPr="008048D3">
        <w:rPr>
          <w:rFonts w:ascii="Verdana" w:hAnsi="Verdana" w:cs="Arial"/>
          <w:i/>
          <w:sz w:val="16"/>
          <w:szCs w:val="16"/>
          <w:lang w:val="lt-LT"/>
        </w:rPr>
        <w:t>Definitions</w:t>
      </w:r>
      <w:proofErr w:type="spellEnd"/>
      <w:r w:rsidRPr="008048D3">
        <w:rPr>
          <w:rFonts w:ascii="Verdana" w:hAnsi="Verdana" w:cs="Arial"/>
          <w:i/>
          <w:sz w:val="16"/>
          <w:szCs w:val="16"/>
          <w:lang w:val="lt-LT"/>
        </w:rPr>
        <w:t xml:space="preserve"> </w:t>
      </w:r>
      <w:proofErr w:type="spellStart"/>
      <w:r w:rsidR="00A6334E" w:rsidRPr="008048D3">
        <w:rPr>
          <w:rFonts w:ascii="Verdana" w:hAnsi="Verdana" w:cs="Arial"/>
          <w:i/>
          <w:sz w:val="16"/>
          <w:szCs w:val="16"/>
          <w:lang w:val="lt-LT"/>
        </w:rPr>
        <w:t>used</w:t>
      </w:r>
      <w:proofErr w:type="spellEnd"/>
      <w:r w:rsidR="00A6334E" w:rsidRPr="008048D3">
        <w:rPr>
          <w:rFonts w:ascii="Verdana" w:hAnsi="Verdana" w:cs="Arial"/>
          <w:i/>
          <w:sz w:val="16"/>
          <w:szCs w:val="16"/>
          <w:lang w:val="lt-LT"/>
        </w:rPr>
        <w:t xml:space="preserve"> </w:t>
      </w:r>
      <w:proofErr w:type="spellStart"/>
      <w:r w:rsidR="00A6334E" w:rsidRPr="008048D3">
        <w:rPr>
          <w:rFonts w:ascii="Verdana" w:hAnsi="Verdana" w:cs="Arial"/>
          <w:i/>
          <w:sz w:val="16"/>
          <w:szCs w:val="16"/>
          <w:lang w:val="lt-LT"/>
        </w:rPr>
        <w:t>in</w:t>
      </w:r>
      <w:proofErr w:type="spellEnd"/>
      <w:r w:rsidR="00A6334E" w:rsidRPr="008048D3">
        <w:rPr>
          <w:rFonts w:ascii="Verdana" w:hAnsi="Verdana" w:cs="Arial"/>
          <w:i/>
          <w:sz w:val="16"/>
          <w:szCs w:val="16"/>
          <w:lang w:val="lt-LT"/>
        </w:rPr>
        <w:t xml:space="preserve"> </w:t>
      </w:r>
      <w:proofErr w:type="spellStart"/>
      <w:r w:rsidR="00A6334E" w:rsidRPr="008048D3">
        <w:rPr>
          <w:rFonts w:ascii="Verdana" w:hAnsi="Verdana" w:cs="Arial"/>
          <w:i/>
          <w:sz w:val="16"/>
          <w:szCs w:val="16"/>
          <w:lang w:val="lt-LT"/>
        </w:rPr>
        <w:t>the</w:t>
      </w:r>
      <w:proofErr w:type="spellEnd"/>
      <w:r w:rsidR="00A6334E" w:rsidRPr="008048D3">
        <w:rPr>
          <w:rFonts w:ascii="Verdana" w:hAnsi="Verdana" w:cs="Arial"/>
          <w:i/>
          <w:sz w:val="16"/>
          <w:szCs w:val="16"/>
          <w:lang w:val="lt-LT"/>
        </w:rPr>
        <w:t xml:space="preserve"> </w:t>
      </w:r>
      <w:proofErr w:type="spellStart"/>
      <w:r w:rsidR="00A6334E" w:rsidRPr="008048D3">
        <w:rPr>
          <w:rFonts w:ascii="Verdana" w:hAnsi="Verdana" w:cs="Arial"/>
          <w:i/>
          <w:sz w:val="16"/>
          <w:szCs w:val="16"/>
          <w:lang w:val="lt-LT"/>
        </w:rPr>
        <w:t>Prospectus</w:t>
      </w:r>
      <w:proofErr w:type="spellEnd"/>
      <w:r w:rsidRPr="008048D3">
        <w:rPr>
          <w:rFonts w:ascii="Verdana" w:hAnsi="Verdana" w:cs="Arial"/>
          <w:sz w:val="16"/>
          <w:szCs w:val="16"/>
          <w:lang w:val="lt-LT"/>
        </w:rPr>
        <w:t>).</w:t>
      </w:r>
      <w:r w:rsidR="004A6C78" w:rsidRPr="008048D3">
        <w:rPr>
          <w:rFonts w:ascii="Verdana" w:hAnsi="Verdana" w:cs="Arial"/>
          <w:sz w:val="16"/>
          <w:szCs w:val="16"/>
          <w:lang w:val="lt-LT"/>
        </w:rPr>
        <w:t xml:space="preserve"> </w:t>
      </w:r>
    </w:p>
    <w:p w14:paraId="30B19412" w14:textId="77777777" w:rsidR="00E06627" w:rsidRPr="008048D3" w:rsidRDefault="00E06627" w:rsidP="00DE058E">
      <w:pPr>
        <w:rPr>
          <w:rFonts w:ascii="Verdana" w:hAnsi="Verdana" w:cs="Arial"/>
          <w:bCs/>
          <w:sz w:val="16"/>
          <w:szCs w:val="16"/>
          <w:lang w:val="lt-LT"/>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51"/>
        <w:gridCol w:w="29"/>
        <w:gridCol w:w="1160"/>
        <w:gridCol w:w="7832"/>
      </w:tblGrid>
      <w:tr w:rsidR="00E06627" w:rsidRPr="008048D3" w14:paraId="7E5D4060" w14:textId="77777777" w:rsidTr="00CA53A5">
        <w:tc>
          <w:tcPr>
            <w:tcW w:w="5000" w:type="pct"/>
            <w:gridSpan w:val="4"/>
            <w:tcBorders>
              <w:top w:val="nil"/>
              <w:left w:val="nil"/>
              <w:right w:val="nil"/>
            </w:tcBorders>
          </w:tcPr>
          <w:p w14:paraId="278A43F1" w14:textId="3FDFA738" w:rsidR="00E06627" w:rsidRPr="008048D3" w:rsidRDefault="00D924BF" w:rsidP="00DE058E">
            <w:pPr>
              <w:spacing w:after="40"/>
              <w:jc w:val="center"/>
              <w:rPr>
                <w:rFonts w:ascii="Verdana" w:hAnsi="Verdana" w:cs="Arial"/>
                <w:b/>
                <w:sz w:val="16"/>
                <w:szCs w:val="16"/>
                <w:lang w:val="lt-LT"/>
              </w:rPr>
            </w:pPr>
            <w:r w:rsidRPr="008048D3">
              <w:rPr>
                <w:rFonts w:ascii="Verdana" w:hAnsi="Verdana" w:cs="Arial"/>
                <w:b/>
                <w:sz w:val="16"/>
                <w:szCs w:val="16"/>
                <w:lang w:val="lt-LT"/>
              </w:rPr>
              <w:t xml:space="preserve">A skirsnis. Įvadas ir įspėjimai </w:t>
            </w:r>
          </w:p>
        </w:tc>
      </w:tr>
      <w:tr w:rsidR="00D924BF" w:rsidRPr="008048D3" w14:paraId="4A54A23A" w14:textId="77777777" w:rsidTr="00CA53A5">
        <w:tc>
          <w:tcPr>
            <w:tcW w:w="288" w:type="pct"/>
          </w:tcPr>
          <w:p w14:paraId="5A7B9C2F" w14:textId="5209F79E" w:rsidR="00D924BF" w:rsidRPr="008048D3" w:rsidRDefault="00D924BF" w:rsidP="00D924BF">
            <w:pPr>
              <w:spacing w:after="40"/>
              <w:ind w:left="-57" w:right="-57"/>
              <w:rPr>
                <w:rFonts w:ascii="Verdana" w:hAnsi="Verdana" w:cs="Arial"/>
                <w:i/>
                <w:sz w:val="16"/>
                <w:szCs w:val="16"/>
                <w:lang w:val="lt-LT"/>
              </w:rPr>
            </w:pPr>
            <w:r w:rsidRPr="008048D3">
              <w:rPr>
                <w:rFonts w:ascii="Verdana" w:hAnsi="Verdana" w:cs="Arial"/>
                <w:i/>
                <w:sz w:val="16"/>
                <w:szCs w:val="16"/>
                <w:lang w:val="lt-LT"/>
              </w:rPr>
              <w:t xml:space="preserve">Punktas </w:t>
            </w:r>
          </w:p>
        </w:tc>
        <w:tc>
          <w:tcPr>
            <w:tcW w:w="621" w:type="pct"/>
            <w:gridSpan w:val="2"/>
            <w:tcBorders>
              <w:right w:val="single" w:sz="4" w:space="0" w:color="A6A6A6"/>
            </w:tcBorders>
          </w:tcPr>
          <w:p w14:paraId="532393E9" w14:textId="75478527" w:rsidR="00D924BF" w:rsidRPr="008048D3" w:rsidRDefault="00D924BF" w:rsidP="00D924BF">
            <w:pPr>
              <w:spacing w:after="40"/>
              <w:ind w:left="-57" w:right="-57"/>
              <w:rPr>
                <w:rFonts w:ascii="Verdana" w:hAnsi="Verdana" w:cs="Arial"/>
                <w:i/>
                <w:sz w:val="16"/>
                <w:szCs w:val="16"/>
                <w:lang w:val="lt-LT"/>
              </w:rPr>
            </w:pPr>
            <w:r w:rsidRPr="008048D3">
              <w:rPr>
                <w:rFonts w:ascii="Verdana" w:hAnsi="Verdana" w:cs="Arial"/>
                <w:i/>
                <w:sz w:val="16"/>
                <w:szCs w:val="16"/>
                <w:lang w:val="lt-LT"/>
              </w:rPr>
              <w:t xml:space="preserve">Pavadinimas </w:t>
            </w:r>
          </w:p>
        </w:tc>
        <w:tc>
          <w:tcPr>
            <w:tcW w:w="4091" w:type="pct"/>
            <w:tcBorders>
              <w:top w:val="single" w:sz="4" w:space="0" w:color="A6A6A6"/>
              <w:left w:val="single" w:sz="4" w:space="0" w:color="A6A6A6"/>
              <w:bottom w:val="single" w:sz="4" w:space="0" w:color="A6A6A6"/>
              <w:right w:val="single" w:sz="4" w:space="0" w:color="A6A6A6"/>
            </w:tcBorders>
          </w:tcPr>
          <w:p w14:paraId="16EE2D82" w14:textId="57B591C7" w:rsidR="00D924BF" w:rsidRPr="008048D3" w:rsidRDefault="00D924BF" w:rsidP="00D924BF">
            <w:pPr>
              <w:spacing w:after="40"/>
              <w:rPr>
                <w:rFonts w:ascii="Verdana" w:hAnsi="Verdana" w:cs="Arial"/>
                <w:i/>
                <w:sz w:val="16"/>
                <w:szCs w:val="16"/>
                <w:lang w:val="lt-LT"/>
              </w:rPr>
            </w:pPr>
            <w:r w:rsidRPr="008048D3">
              <w:rPr>
                <w:rFonts w:ascii="Verdana" w:hAnsi="Verdana" w:cs="Arial"/>
                <w:i/>
                <w:sz w:val="16"/>
                <w:szCs w:val="16"/>
                <w:lang w:val="lt-LT"/>
              </w:rPr>
              <w:t xml:space="preserve">Informacijos atskleidimas </w:t>
            </w:r>
          </w:p>
        </w:tc>
      </w:tr>
      <w:tr w:rsidR="00E06627" w:rsidRPr="00CD3453" w14:paraId="2CDA5547" w14:textId="77777777" w:rsidTr="00CA53A5">
        <w:tc>
          <w:tcPr>
            <w:tcW w:w="288" w:type="pct"/>
            <w:tcBorders>
              <w:bottom w:val="single" w:sz="4" w:space="0" w:color="808080"/>
            </w:tcBorders>
          </w:tcPr>
          <w:p w14:paraId="2BE06848" w14:textId="77777777" w:rsidR="00E06627" w:rsidRPr="008048D3" w:rsidRDefault="00E06627" w:rsidP="00DE058E">
            <w:pPr>
              <w:spacing w:after="40"/>
              <w:jc w:val="both"/>
              <w:rPr>
                <w:rFonts w:ascii="Verdana" w:hAnsi="Verdana" w:cs="Arial"/>
                <w:sz w:val="16"/>
                <w:szCs w:val="16"/>
                <w:lang w:val="lt-LT"/>
              </w:rPr>
            </w:pPr>
            <w:r w:rsidRPr="008048D3">
              <w:rPr>
                <w:rFonts w:ascii="Verdana" w:hAnsi="Verdana" w:cs="Arial"/>
                <w:sz w:val="16"/>
                <w:szCs w:val="16"/>
                <w:lang w:val="lt-LT"/>
              </w:rPr>
              <w:t>A.1</w:t>
            </w:r>
          </w:p>
        </w:tc>
        <w:tc>
          <w:tcPr>
            <w:tcW w:w="621" w:type="pct"/>
            <w:gridSpan w:val="2"/>
            <w:tcBorders>
              <w:bottom w:val="single" w:sz="4" w:space="0" w:color="808080"/>
            </w:tcBorders>
          </w:tcPr>
          <w:p w14:paraId="5B0D6A7F" w14:textId="30096C06" w:rsidR="00E06627" w:rsidRPr="008048D3" w:rsidRDefault="00D924BF" w:rsidP="00B27F7B">
            <w:pPr>
              <w:spacing w:after="40"/>
              <w:jc w:val="both"/>
              <w:rPr>
                <w:rFonts w:ascii="Verdana" w:hAnsi="Verdana" w:cs="Arial"/>
                <w:sz w:val="16"/>
                <w:szCs w:val="16"/>
                <w:lang w:val="lt-LT"/>
              </w:rPr>
            </w:pPr>
            <w:r w:rsidRPr="008048D3">
              <w:rPr>
                <w:rFonts w:ascii="Verdana" w:hAnsi="Verdana" w:cs="Arial"/>
                <w:sz w:val="16"/>
                <w:szCs w:val="16"/>
                <w:lang w:val="lt-LT"/>
              </w:rPr>
              <w:t xml:space="preserve">Įvadas ir įspėjimai </w:t>
            </w:r>
          </w:p>
        </w:tc>
        <w:tc>
          <w:tcPr>
            <w:tcW w:w="4091" w:type="pct"/>
            <w:tcBorders>
              <w:bottom w:val="single" w:sz="4" w:space="0" w:color="808080"/>
            </w:tcBorders>
          </w:tcPr>
          <w:p w14:paraId="27D8AD40" w14:textId="4205F228" w:rsidR="000035B9" w:rsidRPr="008048D3" w:rsidRDefault="000035B9" w:rsidP="00757462">
            <w:pPr>
              <w:jc w:val="both"/>
              <w:rPr>
                <w:rFonts w:ascii="Verdana" w:hAnsi="Verdana" w:cs="Arial"/>
                <w:sz w:val="16"/>
                <w:szCs w:val="16"/>
                <w:lang w:val="lt-LT"/>
              </w:rPr>
            </w:pPr>
            <w:r w:rsidRPr="008048D3">
              <w:rPr>
                <w:rFonts w:ascii="Verdana" w:hAnsi="Verdana" w:cs="Arial"/>
                <w:sz w:val="16"/>
                <w:szCs w:val="16"/>
                <w:lang w:val="lt-LT"/>
              </w:rPr>
              <w:t>Ši Santrauka nėra Prospektas dėl Siūlymo ir Siūlomų akcijų Įtraukimo į prekybą ir ji turėtų būti skaitoma tik kaip Prospekto įvadas. Šioje Santraukoje yra pateikti faktai ir aplinkybės, kurios, Bendrovės nuomone, yra svarbios Bendrovės verslo</w:t>
            </w:r>
            <w:r w:rsidR="00D34408" w:rsidRPr="008048D3">
              <w:rPr>
                <w:rFonts w:ascii="Verdana" w:hAnsi="Verdana" w:cs="Arial"/>
                <w:sz w:val="16"/>
                <w:szCs w:val="16"/>
                <w:lang w:val="lt-LT"/>
              </w:rPr>
              <w:t>,</w:t>
            </w:r>
            <w:r w:rsidRPr="008048D3">
              <w:rPr>
                <w:rFonts w:ascii="Verdana" w:hAnsi="Verdana" w:cs="Arial"/>
                <w:sz w:val="16"/>
                <w:szCs w:val="16"/>
                <w:lang w:val="lt-LT"/>
              </w:rPr>
              <w:t xml:space="preserve"> </w:t>
            </w:r>
            <w:r w:rsidR="00D34408" w:rsidRPr="008048D3">
              <w:rPr>
                <w:rFonts w:ascii="Verdana" w:hAnsi="Verdana" w:cs="Arial"/>
                <w:sz w:val="16"/>
                <w:szCs w:val="16"/>
                <w:lang w:val="lt-LT"/>
              </w:rPr>
              <w:t>Siūlomų akcijų</w:t>
            </w:r>
            <w:r w:rsidRPr="008048D3">
              <w:rPr>
                <w:rFonts w:ascii="Verdana" w:hAnsi="Verdana" w:cs="Arial"/>
                <w:sz w:val="16"/>
                <w:szCs w:val="16"/>
                <w:lang w:val="lt-LT"/>
              </w:rPr>
              <w:t xml:space="preserve"> viešo Siūlymo ir </w:t>
            </w:r>
            <w:r w:rsidR="00D34408" w:rsidRPr="008048D3">
              <w:rPr>
                <w:rFonts w:ascii="Verdana" w:hAnsi="Verdana" w:cs="Arial"/>
                <w:sz w:val="16"/>
                <w:szCs w:val="16"/>
                <w:lang w:val="lt-LT"/>
              </w:rPr>
              <w:t xml:space="preserve">Naujų akcijų </w:t>
            </w:r>
            <w:r w:rsidRPr="008048D3">
              <w:rPr>
                <w:rFonts w:ascii="Verdana" w:hAnsi="Verdana" w:cs="Arial"/>
                <w:sz w:val="16"/>
                <w:szCs w:val="16"/>
                <w:lang w:val="lt-LT"/>
              </w:rPr>
              <w:t xml:space="preserve">Įtraukimo į prekybą atžvilgiu, ir joje yra pateikiama tam tikros informacijos, kuri išsamiau aptariama Prospekte, santrauka. Kiekvienas investuotojas turėtų priimti sprendimą dalyvauti Siūlyme ir investuoti į Bendrovės Akcijas vadovaudamasis visu Prospektu (įskaitant jo pataisas ir priedus), o </w:t>
            </w:r>
            <w:r w:rsidR="00545D31" w:rsidRPr="008048D3">
              <w:rPr>
                <w:rFonts w:ascii="Verdana" w:hAnsi="Verdana" w:cs="Arial"/>
                <w:sz w:val="16"/>
                <w:szCs w:val="16"/>
                <w:lang w:val="lt-LT"/>
              </w:rPr>
              <w:t>‚</w:t>
            </w:r>
            <w:r w:rsidRPr="008048D3">
              <w:rPr>
                <w:rFonts w:ascii="Verdana" w:hAnsi="Verdana" w:cs="Arial"/>
                <w:sz w:val="16"/>
                <w:szCs w:val="16"/>
                <w:lang w:val="lt-LT"/>
              </w:rPr>
              <w:t>ne tik šia Santrauka.</w:t>
            </w:r>
          </w:p>
          <w:p w14:paraId="72FD5768" w14:textId="77777777" w:rsidR="00757462" w:rsidRPr="008048D3" w:rsidRDefault="00757462" w:rsidP="00757462">
            <w:pPr>
              <w:jc w:val="both"/>
              <w:rPr>
                <w:rFonts w:ascii="Verdana" w:hAnsi="Verdana" w:cs="Arial"/>
                <w:sz w:val="16"/>
                <w:szCs w:val="16"/>
                <w:lang w:val="lt-LT"/>
              </w:rPr>
            </w:pPr>
          </w:p>
          <w:p w14:paraId="2CBB69E6" w14:textId="7C19F820" w:rsidR="00610B3D" w:rsidRPr="008048D3" w:rsidRDefault="000035B9" w:rsidP="00757462">
            <w:pPr>
              <w:jc w:val="both"/>
              <w:rPr>
                <w:rFonts w:ascii="Verdana" w:hAnsi="Verdana" w:cs="Arial"/>
                <w:sz w:val="16"/>
                <w:szCs w:val="16"/>
                <w:lang w:val="lt-LT"/>
              </w:rPr>
            </w:pPr>
            <w:r w:rsidRPr="008048D3">
              <w:rPr>
                <w:rFonts w:ascii="Verdana" w:hAnsi="Verdana" w:cs="Arial"/>
                <w:sz w:val="16"/>
                <w:szCs w:val="16"/>
                <w:lang w:val="lt-LT"/>
              </w:rPr>
              <w:t xml:space="preserve">Galimi investuotojai </w:t>
            </w:r>
            <w:r w:rsidR="00810901" w:rsidRPr="008048D3">
              <w:rPr>
                <w:rFonts w:ascii="Verdana" w:hAnsi="Verdana" w:cs="Arial"/>
                <w:sz w:val="16"/>
                <w:szCs w:val="16"/>
                <w:lang w:val="lt-LT"/>
              </w:rPr>
              <w:t xml:space="preserve">(toliau – </w:t>
            </w:r>
            <w:r w:rsidR="00810901" w:rsidRPr="008048D3">
              <w:rPr>
                <w:rFonts w:ascii="Verdana" w:hAnsi="Verdana" w:cs="Arial"/>
                <w:b/>
                <w:sz w:val="16"/>
                <w:szCs w:val="16"/>
                <w:lang w:val="lt-LT"/>
              </w:rPr>
              <w:t>Galimi investuotojai</w:t>
            </w:r>
            <w:r w:rsidR="00810901" w:rsidRPr="008048D3">
              <w:rPr>
                <w:rFonts w:ascii="Verdana" w:hAnsi="Verdana" w:cs="Arial"/>
                <w:sz w:val="16"/>
                <w:szCs w:val="16"/>
                <w:lang w:val="lt-LT"/>
              </w:rPr>
              <w:t xml:space="preserve">) </w:t>
            </w:r>
            <w:r w:rsidRPr="008048D3">
              <w:rPr>
                <w:rFonts w:ascii="Verdana" w:hAnsi="Verdana" w:cs="Arial"/>
                <w:sz w:val="16"/>
                <w:szCs w:val="16"/>
                <w:lang w:val="lt-LT"/>
              </w:rPr>
              <w:t xml:space="preserve">yra įspėjami, kad jei teismui pateikiamas ieškinys dėl Prospekte esančios informacijos, ieškovui </w:t>
            </w:r>
            <w:r w:rsidR="004A4C9A" w:rsidRPr="008048D3">
              <w:rPr>
                <w:rFonts w:ascii="Verdana" w:hAnsi="Verdana" w:cs="Arial"/>
                <w:sz w:val="16"/>
                <w:szCs w:val="16"/>
                <w:lang w:val="lt-LT"/>
              </w:rPr>
              <w:t xml:space="preserve">Investuotojui </w:t>
            </w:r>
            <w:r w:rsidRPr="008048D3">
              <w:rPr>
                <w:rFonts w:ascii="Verdana" w:hAnsi="Verdana" w:cs="Arial"/>
                <w:sz w:val="16"/>
                <w:szCs w:val="16"/>
                <w:lang w:val="lt-LT"/>
              </w:rPr>
              <w:t>pagal nacionalinius atitinkamos šalies teisės aktus gali tekti padengti viso Prospekto vertimo išlaidas prieš pradedant teisminį procesą. Bendrovė prisiima civilinę atsakomybę, susijusią su šios Santraukos pateikimu (įskaitant bet kokį jos vertimą), tačiau tik tuo atveju, jei Santrauka yra klaidinanti, netiksli ar nenuosekli skaitant kartu su kitomis Prospekto dalimis arba jei joje, skaitant kartu su kitomis Prospekto dalimis, nepateikiama pagrindinė informacija, kuria siekiama padėti investuotojams svarstant galimybę investuoti į šiuos vertybinius popierius.</w:t>
            </w:r>
          </w:p>
        </w:tc>
      </w:tr>
      <w:tr w:rsidR="00E06627" w:rsidRPr="00CD3453" w14:paraId="29BDC10F" w14:textId="77777777" w:rsidTr="00CA53A5">
        <w:tc>
          <w:tcPr>
            <w:tcW w:w="288" w:type="pct"/>
            <w:tcBorders>
              <w:bottom w:val="single" w:sz="4" w:space="0" w:color="808080"/>
            </w:tcBorders>
          </w:tcPr>
          <w:p w14:paraId="4F064B86" w14:textId="77777777" w:rsidR="00E06627" w:rsidRPr="008048D3" w:rsidRDefault="00E06627" w:rsidP="00DE058E">
            <w:pPr>
              <w:spacing w:after="40"/>
              <w:jc w:val="both"/>
              <w:rPr>
                <w:rFonts w:ascii="Verdana" w:hAnsi="Verdana" w:cs="Arial"/>
                <w:sz w:val="16"/>
                <w:szCs w:val="16"/>
                <w:lang w:val="lt-LT"/>
              </w:rPr>
            </w:pPr>
            <w:r w:rsidRPr="008048D3">
              <w:rPr>
                <w:rFonts w:ascii="Verdana" w:hAnsi="Verdana" w:cs="Arial"/>
                <w:sz w:val="16"/>
                <w:szCs w:val="16"/>
                <w:lang w:val="lt-LT"/>
              </w:rPr>
              <w:t>A.2</w:t>
            </w:r>
          </w:p>
        </w:tc>
        <w:tc>
          <w:tcPr>
            <w:tcW w:w="621" w:type="pct"/>
            <w:gridSpan w:val="2"/>
            <w:tcBorders>
              <w:bottom w:val="single" w:sz="4" w:space="0" w:color="808080"/>
            </w:tcBorders>
          </w:tcPr>
          <w:p w14:paraId="3F8C3F80" w14:textId="4BE31A75" w:rsidR="00E06627" w:rsidRPr="008048D3" w:rsidRDefault="00E47903" w:rsidP="00E47903">
            <w:pPr>
              <w:spacing w:after="40"/>
              <w:ind w:right="-57"/>
              <w:jc w:val="both"/>
              <w:rPr>
                <w:rFonts w:ascii="Verdana" w:hAnsi="Verdana" w:cs="Arial"/>
                <w:sz w:val="16"/>
                <w:szCs w:val="16"/>
                <w:lang w:val="lt-LT"/>
              </w:rPr>
            </w:pPr>
            <w:r w:rsidRPr="008048D3">
              <w:rPr>
                <w:rFonts w:ascii="Verdana" w:hAnsi="Verdana" w:cs="Arial"/>
                <w:sz w:val="16"/>
                <w:szCs w:val="16"/>
                <w:lang w:val="lt-LT"/>
              </w:rPr>
              <w:t xml:space="preserve">Prospekto naudojimas paskesniam Akcijų perpardavimui </w:t>
            </w:r>
          </w:p>
        </w:tc>
        <w:tc>
          <w:tcPr>
            <w:tcW w:w="4091" w:type="pct"/>
            <w:tcBorders>
              <w:bottom w:val="single" w:sz="4" w:space="0" w:color="808080"/>
            </w:tcBorders>
          </w:tcPr>
          <w:p w14:paraId="473949D5" w14:textId="0ED06E64" w:rsidR="00E47903" w:rsidRPr="008048D3" w:rsidRDefault="00E47903" w:rsidP="00DE058E">
            <w:pPr>
              <w:jc w:val="both"/>
              <w:rPr>
                <w:rFonts w:ascii="Verdana" w:hAnsi="Verdana" w:cs="Arial"/>
                <w:sz w:val="16"/>
                <w:szCs w:val="16"/>
                <w:lang w:val="lt-LT"/>
              </w:rPr>
            </w:pPr>
            <w:r w:rsidRPr="008048D3">
              <w:rPr>
                <w:rFonts w:ascii="Verdana" w:hAnsi="Verdana" w:cs="Arial"/>
                <w:sz w:val="16"/>
                <w:szCs w:val="16"/>
                <w:lang w:val="lt-LT"/>
              </w:rPr>
              <w:t>Netaikoma. Šis Prospektas parengtas išimtinai Siūlymo ir Įtraukimo į prekybą tikslais, kaip nurodyta Prospekte. Taigi jis negali būti naudojamas paskesniam vertybinių popierių perpardavimui ir</w:t>
            </w:r>
            <w:r w:rsidR="004A6C78" w:rsidRPr="008048D3">
              <w:rPr>
                <w:rFonts w:ascii="Verdana" w:hAnsi="Verdana" w:cs="Arial"/>
                <w:sz w:val="16"/>
                <w:szCs w:val="16"/>
                <w:lang w:val="lt-LT"/>
              </w:rPr>
              <w:t xml:space="preserve"> (</w:t>
            </w:r>
            <w:r w:rsidRPr="008048D3">
              <w:rPr>
                <w:rFonts w:ascii="Verdana" w:hAnsi="Verdana" w:cs="Arial"/>
                <w:sz w:val="16"/>
                <w:szCs w:val="16"/>
                <w:lang w:val="lt-LT"/>
              </w:rPr>
              <w:t>ar</w:t>
            </w:r>
            <w:r w:rsidR="004A6C78" w:rsidRPr="008048D3">
              <w:rPr>
                <w:rFonts w:ascii="Verdana" w:hAnsi="Verdana" w:cs="Arial"/>
                <w:sz w:val="16"/>
                <w:szCs w:val="16"/>
                <w:lang w:val="lt-LT"/>
              </w:rPr>
              <w:t>ba)</w:t>
            </w:r>
            <w:r w:rsidRPr="008048D3">
              <w:rPr>
                <w:rFonts w:ascii="Verdana" w:hAnsi="Verdana" w:cs="Arial"/>
                <w:sz w:val="16"/>
                <w:szCs w:val="16"/>
                <w:lang w:val="lt-LT"/>
              </w:rPr>
              <w:t xml:space="preserve"> galutiniam vertybinių popierių platinimui per finans</w:t>
            </w:r>
            <w:r w:rsidR="00D94CED" w:rsidRPr="008048D3">
              <w:rPr>
                <w:rFonts w:ascii="Verdana" w:hAnsi="Verdana" w:cs="Arial"/>
                <w:sz w:val="16"/>
                <w:szCs w:val="16"/>
                <w:lang w:val="lt-LT"/>
              </w:rPr>
              <w:t xml:space="preserve">ų </w:t>
            </w:r>
            <w:r w:rsidRPr="008048D3">
              <w:rPr>
                <w:rFonts w:ascii="Verdana" w:hAnsi="Verdana" w:cs="Arial"/>
                <w:sz w:val="16"/>
                <w:szCs w:val="16"/>
                <w:lang w:val="lt-LT"/>
              </w:rPr>
              <w:t xml:space="preserve">tarpininkus. </w:t>
            </w:r>
          </w:p>
          <w:p w14:paraId="026CF9F4" w14:textId="003EA917" w:rsidR="00E06627" w:rsidRPr="008048D3" w:rsidRDefault="00E06627" w:rsidP="00DE058E">
            <w:pPr>
              <w:jc w:val="both"/>
              <w:rPr>
                <w:rFonts w:ascii="Verdana" w:hAnsi="Verdana" w:cs="Arial"/>
                <w:sz w:val="16"/>
                <w:szCs w:val="16"/>
                <w:lang w:val="lt-LT"/>
              </w:rPr>
            </w:pPr>
          </w:p>
        </w:tc>
      </w:tr>
      <w:tr w:rsidR="00E06627" w:rsidRPr="008048D3" w14:paraId="09FFFAD8" w14:textId="77777777" w:rsidTr="00CA53A5">
        <w:tc>
          <w:tcPr>
            <w:tcW w:w="5000" w:type="pct"/>
            <w:gridSpan w:val="4"/>
            <w:tcBorders>
              <w:left w:val="nil"/>
              <w:right w:val="nil"/>
            </w:tcBorders>
          </w:tcPr>
          <w:p w14:paraId="6FA437DD" w14:textId="1518E66C" w:rsidR="00E06627" w:rsidRPr="008048D3" w:rsidRDefault="00336C72" w:rsidP="00DE058E">
            <w:pPr>
              <w:spacing w:before="120"/>
              <w:jc w:val="center"/>
              <w:rPr>
                <w:rFonts w:ascii="Verdana" w:hAnsi="Verdana" w:cs="Arial"/>
                <w:b/>
                <w:sz w:val="16"/>
                <w:szCs w:val="16"/>
                <w:lang w:val="lt-LT"/>
              </w:rPr>
            </w:pPr>
            <w:r w:rsidRPr="008048D3">
              <w:rPr>
                <w:rFonts w:ascii="Verdana" w:hAnsi="Verdana" w:cs="Arial"/>
                <w:b/>
                <w:sz w:val="16"/>
                <w:szCs w:val="16"/>
                <w:lang w:val="lt-LT"/>
              </w:rPr>
              <w:t xml:space="preserve">B skirsnis. Emitentas </w:t>
            </w:r>
          </w:p>
        </w:tc>
      </w:tr>
      <w:tr w:rsidR="00D924BF" w:rsidRPr="008048D3" w14:paraId="6A6AF33C" w14:textId="77777777" w:rsidTr="00CA53A5">
        <w:tc>
          <w:tcPr>
            <w:tcW w:w="288" w:type="pct"/>
          </w:tcPr>
          <w:p w14:paraId="3C46F720" w14:textId="00EF0C7C" w:rsidR="00D924BF" w:rsidRPr="008048D3" w:rsidRDefault="00D924BF" w:rsidP="00D924BF">
            <w:pPr>
              <w:spacing w:after="40"/>
              <w:ind w:left="-57" w:right="-57"/>
              <w:rPr>
                <w:rFonts w:ascii="Verdana" w:hAnsi="Verdana" w:cs="Arial"/>
                <w:i/>
                <w:sz w:val="16"/>
                <w:szCs w:val="16"/>
                <w:lang w:val="lt-LT"/>
              </w:rPr>
            </w:pPr>
            <w:r w:rsidRPr="008048D3">
              <w:rPr>
                <w:rFonts w:ascii="Verdana" w:hAnsi="Verdana" w:cs="Arial"/>
                <w:i/>
                <w:sz w:val="16"/>
                <w:szCs w:val="16"/>
                <w:lang w:val="lt-LT"/>
              </w:rPr>
              <w:t xml:space="preserve">Punktas </w:t>
            </w:r>
          </w:p>
        </w:tc>
        <w:tc>
          <w:tcPr>
            <w:tcW w:w="621" w:type="pct"/>
            <w:gridSpan w:val="2"/>
          </w:tcPr>
          <w:p w14:paraId="09836B7B" w14:textId="42E33B13" w:rsidR="00D924BF" w:rsidRPr="008048D3" w:rsidRDefault="00D924BF" w:rsidP="00D924BF">
            <w:pPr>
              <w:spacing w:after="40"/>
              <w:ind w:left="-57" w:right="-57"/>
              <w:rPr>
                <w:rFonts w:ascii="Verdana" w:hAnsi="Verdana" w:cs="Arial"/>
                <w:i/>
                <w:sz w:val="16"/>
                <w:szCs w:val="16"/>
                <w:lang w:val="lt-LT"/>
              </w:rPr>
            </w:pPr>
            <w:r w:rsidRPr="008048D3">
              <w:rPr>
                <w:rFonts w:ascii="Verdana" w:hAnsi="Verdana" w:cs="Arial"/>
                <w:i/>
                <w:sz w:val="16"/>
                <w:szCs w:val="16"/>
                <w:lang w:val="lt-LT"/>
              </w:rPr>
              <w:t xml:space="preserve">Pavadinimas </w:t>
            </w:r>
          </w:p>
        </w:tc>
        <w:tc>
          <w:tcPr>
            <w:tcW w:w="4091" w:type="pct"/>
          </w:tcPr>
          <w:p w14:paraId="11BF13E5" w14:textId="0D336AE0" w:rsidR="00D924BF" w:rsidRPr="008048D3" w:rsidRDefault="00D924BF" w:rsidP="00D924BF">
            <w:pPr>
              <w:rPr>
                <w:rFonts w:ascii="Verdana" w:hAnsi="Verdana" w:cs="Arial"/>
                <w:i/>
                <w:sz w:val="16"/>
                <w:szCs w:val="16"/>
                <w:lang w:val="lt-LT"/>
              </w:rPr>
            </w:pPr>
            <w:r w:rsidRPr="008048D3">
              <w:rPr>
                <w:rFonts w:ascii="Verdana" w:hAnsi="Verdana" w:cs="Arial"/>
                <w:i/>
                <w:sz w:val="16"/>
                <w:szCs w:val="16"/>
                <w:lang w:val="lt-LT"/>
              </w:rPr>
              <w:t xml:space="preserve">Informacijos atskleidimas </w:t>
            </w:r>
          </w:p>
        </w:tc>
      </w:tr>
      <w:tr w:rsidR="008F65F5" w:rsidRPr="008048D3" w14:paraId="76C57A92" w14:textId="77777777" w:rsidTr="00CA53A5">
        <w:tc>
          <w:tcPr>
            <w:tcW w:w="288" w:type="pct"/>
          </w:tcPr>
          <w:p w14:paraId="240223BC"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B.1</w:t>
            </w:r>
          </w:p>
        </w:tc>
        <w:tc>
          <w:tcPr>
            <w:tcW w:w="621" w:type="pct"/>
            <w:gridSpan w:val="2"/>
          </w:tcPr>
          <w:p w14:paraId="01219C19" w14:textId="2078A6B0" w:rsidR="008F65F5" w:rsidRPr="008048D3" w:rsidRDefault="00336C72" w:rsidP="008F65F5">
            <w:pPr>
              <w:spacing w:after="40"/>
              <w:rPr>
                <w:rFonts w:ascii="Verdana" w:hAnsi="Verdana" w:cs="Arial"/>
                <w:sz w:val="16"/>
                <w:szCs w:val="16"/>
                <w:lang w:val="lt-LT"/>
              </w:rPr>
            </w:pPr>
            <w:r w:rsidRPr="008048D3">
              <w:rPr>
                <w:rFonts w:ascii="Verdana" w:hAnsi="Verdana" w:cs="Arial"/>
                <w:sz w:val="16"/>
                <w:szCs w:val="16"/>
                <w:lang w:val="lt-LT"/>
              </w:rPr>
              <w:t xml:space="preserve">Teisinis ir komercinis pavadinimas </w:t>
            </w:r>
          </w:p>
        </w:tc>
        <w:tc>
          <w:tcPr>
            <w:tcW w:w="4091" w:type="pct"/>
          </w:tcPr>
          <w:p w14:paraId="016E126C" w14:textId="5E37EB9C" w:rsidR="008F65F5" w:rsidRPr="008048D3" w:rsidRDefault="00336C72" w:rsidP="008F65F5">
            <w:pPr>
              <w:rPr>
                <w:rFonts w:ascii="Verdana" w:hAnsi="Verdana" w:cs="Arial"/>
                <w:sz w:val="16"/>
                <w:szCs w:val="16"/>
                <w:lang w:val="lt-LT"/>
              </w:rPr>
            </w:pPr>
            <w:r w:rsidRPr="008048D3">
              <w:rPr>
                <w:rFonts w:ascii="Verdana" w:hAnsi="Verdana" w:cs="Arial"/>
                <w:sz w:val="16"/>
                <w:szCs w:val="16"/>
                <w:lang w:val="lt-LT"/>
              </w:rPr>
              <w:t xml:space="preserve">Bendrovės teisinis ir komercinis pavadinimas yra </w:t>
            </w:r>
            <w:r w:rsidR="008F65F5" w:rsidRPr="008048D3">
              <w:rPr>
                <w:rFonts w:ascii="Verdana" w:hAnsi="Verdana" w:cs="Arial"/>
                <w:sz w:val="16"/>
                <w:szCs w:val="16"/>
                <w:lang w:val="lt-LT"/>
              </w:rPr>
              <w:t>A</w:t>
            </w:r>
            <w:r w:rsidR="00FD4FA6" w:rsidRPr="008048D3">
              <w:rPr>
                <w:rFonts w:ascii="Verdana" w:hAnsi="Verdana" w:cs="Arial"/>
                <w:sz w:val="16"/>
                <w:szCs w:val="16"/>
                <w:lang w:val="lt-LT"/>
              </w:rPr>
              <w:t xml:space="preserve">UGA </w:t>
            </w:r>
            <w:proofErr w:type="spellStart"/>
            <w:r w:rsidR="00FD4FA6" w:rsidRPr="008048D3">
              <w:rPr>
                <w:rFonts w:ascii="Verdana" w:hAnsi="Verdana" w:cs="Arial"/>
                <w:sz w:val="16"/>
                <w:szCs w:val="16"/>
                <w:lang w:val="lt-LT"/>
              </w:rPr>
              <w:t>g</w:t>
            </w:r>
            <w:r w:rsidR="008F65F5" w:rsidRPr="008048D3">
              <w:rPr>
                <w:rFonts w:ascii="Verdana" w:hAnsi="Verdana" w:cs="Arial"/>
                <w:sz w:val="16"/>
                <w:szCs w:val="16"/>
                <w:lang w:val="lt-LT"/>
              </w:rPr>
              <w:t>roup</w:t>
            </w:r>
            <w:proofErr w:type="spellEnd"/>
            <w:r w:rsidRPr="008048D3">
              <w:rPr>
                <w:rFonts w:ascii="Verdana" w:hAnsi="Verdana" w:cs="Arial"/>
                <w:sz w:val="16"/>
                <w:szCs w:val="16"/>
                <w:lang w:val="lt-LT"/>
              </w:rPr>
              <w:t>,</w:t>
            </w:r>
            <w:r w:rsidR="004C5DF2" w:rsidRPr="008048D3">
              <w:rPr>
                <w:rFonts w:ascii="Verdana" w:hAnsi="Verdana" w:cs="Arial"/>
                <w:sz w:val="16"/>
                <w:szCs w:val="16"/>
                <w:lang w:val="lt-LT"/>
              </w:rPr>
              <w:t xml:space="preserve"> AB</w:t>
            </w:r>
            <w:r w:rsidR="007708E1" w:rsidRPr="008048D3">
              <w:rPr>
                <w:rFonts w:ascii="Verdana" w:hAnsi="Verdana" w:cs="Arial"/>
                <w:sz w:val="16"/>
                <w:szCs w:val="16"/>
                <w:lang w:val="lt-LT"/>
              </w:rPr>
              <w:t>.</w:t>
            </w:r>
          </w:p>
        </w:tc>
      </w:tr>
      <w:tr w:rsidR="008F65F5" w:rsidRPr="008048D3" w14:paraId="0024B82F" w14:textId="77777777" w:rsidTr="00CA53A5">
        <w:tc>
          <w:tcPr>
            <w:tcW w:w="288" w:type="pct"/>
          </w:tcPr>
          <w:p w14:paraId="10FC275E"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B.2</w:t>
            </w:r>
          </w:p>
        </w:tc>
        <w:tc>
          <w:tcPr>
            <w:tcW w:w="621" w:type="pct"/>
            <w:gridSpan w:val="2"/>
          </w:tcPr>
          <w:p w14:paraId="347EF0BB" w14:textId="745C2AFE" w:rsidR="008F65F5" w:rsidRPr="008048D3" w:rsidRDefault="00336C72" w:rsidP="008F65F5">
            <w:pPr>
              <w:spacing w:after="40"/>
              <w:rPr>
                <w:rFonts w:ascii="Verdana" w:hAnsi="Verdana" w:cs="Arial"/>
                <w:sz w:val="16"/>
                <w:szCs w:val="16"/>
                <w:lang w:val="lt-LT"/>
              </w:rPr>
            </w:pPr>
            <w:r w:rsidRPr="008048D3">
              <w:rPr>
                <w:rFonts w:ascii="Verdana" w:hAnsi="Verdana" w:cs="Arial"/>
                <w:sz w:val="16"/>
                <w:szCs w:val="16"/>
                <w:lang w:val="lt-LT"/>
              </w:rPr>
              <w:t xml:space="preserve">Buveinės vieta / teisinė forma/ teisės aktai / įsisteigimo šalis </w:t>
            </w:r>
          </w:p>
        </w:tc>
        <w:tc>
          <w:tcPr>
            <w:tcW w:w="4091" w:type="pct"/>
          </w:tcPr>
          <w:p w14:paraId="04E5F687" w14:textId="1E8861CF" w:rsidR="008F65F5" w:rsidRPr="008048D3" w:rsidRDefault="00336C72" w:rsidP="008F65F5">
            <w:pPr>
              <w:jc w:val="both"/>
              <w:rPr>
                <w:rFonts w:ascii="Verdana" w:hAnsi="Verdana" w:cs="Arial"/>
                <w:sz w:val="16"/>
                <w:szCs w:val="16"/>
                <w:lang w:val="lt-LT"/>
              </w:rPr>
            </w:pPr>
            <w:r w:rsidRPr="008048D3">
              <w:rPr>
                <w:rFonts w:ascii="Verdana" w:hAnsi="Verdana" w:cs="Arial"/>
                <w:sz w:val="16"/>
                <w:szCs w:val="16"/>
                <w:lang w:val="lt-LT"/>
              </w:rPr>
              <w:t>Bendrovė yra akcinė bendrovė, įsteigta Vilniuje, Lietuv</w:t>
            </w:r>
            <w:r w:rsidR="008A2E84" w:rsidRPr="008048D3">
              <w:rPr>
                <w:rFonts w:ascii="Verdana" w:hAnsi="Verdana" w:cs="Arial"/>
                <w:sz w:val="16"/>
                <w:szCs w:val="16"/>
                <w:lang w:val="lt-LT"/>
              </w:rPr>
              <w:t>oje</w:t>
            </w:r>
            <w:r w:rsidRPr="008048D3">
              <w:rPr>
                <w:rFonts w:ascii="Verdana" w:hAnsi="Verdana" w:cs="Arial"/>
                <w:sz w:val="16"/>
                <w:szCs w:val="16"/>
                <w:lang w:val="lt-LT"/>
              </w:rPr>
              <w:t xml:space="preserve">, </w:t>
            </w:r>
            <w:r w:rsidR="002E6EE0" w:rsidRPr="008048D3">
              <w:rPr>
                <w:rFonts w:ascii="Verdana" w:hAnsi="Verdana" w:cs="Arial"/>
                <w:sz w:val="16"/>
                <w:szCs w:val="16"/>
                <w:lang w:val="lt-LT"/>
              </w:rPr>
              <w:t>jos</w:t>
            </w:r>
            <w:r w:rsidRPr="008048D3">
              <w:rPr>
                <w:rFonts w:ascii="Verdana" w:hAnsi="Verdana" w:cs="Arial"/>
                <w:sz w:val="16"/>
                <w:szCs w:val="16"/>
                <w:lang w:val="lt-LT"/>
              </w:rPr>
              <w:t xml:space="preserve"> buveinės adresas yra </w:t>
            </w:r>
            <w:r w:rsidR="00B93956" w:rsidRPr="008048D3">
              <w:rPr>
                <w:rFonts w:ascii="Verdana" w:hAnsi="Verdana" w:cs="Arial"/>
                <w:sz w:val="16"/>
                <w:szCs w:val="16"/>
                <w:lang w:val="lt-LT"/>
              </w:rPr>
              <w:t xml:space="preserve">Konstitucijos </w:t>
            </w:r>
            <w:r w:rsidRPr="008048D3">
              <w:rPr>
                <w:rFonts w:ascii="Verdana" w:hAnsi="Verdana" w:cs="Arial"/>
                <w:sz w:val="16"/>
                <w:szCs w:val="16"/>
                <w:lang w:val="lt-LT"/>
              </w:rPr>
              <w:t>pr</w:t>
            </w:r>
            <w:r w:rsidR="00B93956" w:rsidRPr="008048D3">
              <w:rPr>
                <w:rFonts w:ascii="Verdana" w:hAnsi="Verdana" w:cs="Arial"/>
                <w:sz w:val="16"/>
                <w:szCs w:val="16"/>
                <w:lang w:val="lt-LT"/>
              </w:rPr>
              <w:t>. 21C</w:t>
            </w:r>
            <w:r w:rsidR="008F65F5" w:rsidRPr="008048D3">
              <w:rPr>
                <w:rFonts w:ascii="Verdana" w:hAnsi="Verdana" w:cs="Arial"/>
                <w:sz w:val="16"/>
                <w:szCs w:val="16"/>
                <w:lang w:val="lt-LT"/>
              </w:rPr>
              <w:t>, Vilnius</w:t>
            </w:r>
            <w:r w:rsidR="007708E1" w:rsidRPr="008048D3">
              <w:rPr>
                <w:rFonts w:ascii="Verdana" w:hAnsi="Verdana" w:cs="Arial"/>
                <w:sz w:val="16"/>
                <w:szCs w:val="16"/>
                <w:lang w:val="lt-LT"/>
              </w:rPr>
              <w:t>, Li</w:t>
            </w:r>
            <w:r w:rsidRPr="008048D3">
              <w:rPr>
                <w:rFonts w:ascii="Verdana" w:hAnsi="Verdana" w:cs="Arial"/>
                <w:sz w:val="16"/>
                <w:szCs w:val="16"/>
                <w:lang w:val="lt-LT"/>
              </w:rPr>
              <w:t>e</w:t>
            </w:r>
            <w:r w:rsidR="007708E1" w:rsidRPr="008048D3">
              <w:rPr>
                <w:rFonts w:ascii="Verdana" w:hAnsi="Verdana" w:cs="Arial"/>
                <w:sz w:val="16"/>
                <w:szCs w:val="16"/>
                <w:lang w:val="lt-LT"/>
              </w:rPr>
              <w:t>tu</w:t>
            </w:r>
            <w:r w:rsidRPr="008048D3">
              <w:rPr>
                <w:rFonts w:ascii="Verdana" w:hAnsi="Verdana" w:cs="Arial"/>
                <w:sz w:val="16"/>
                <w:szCs w:val="16"/>
                <w:lang w:val="lt-LT"/>
              </w:rPr>
              <w:t>v</w:t>
            </w:r>
            <w:r w:rsidR="007708E1" w:rsidRPr="008048D3">
              <w:rPr>
                <w:rFonts w:ascii="Verdana" w:hAnsi="Verdana" w:cs="Arial"/>
                <w:sz w:val="16"/>
                <w:szCs w:val="16"/>
                <w:lang w:val="lt-LT"/>
              </w:rPr>
              <w:t>a</w:t>
            </w:r>
            <w:r w:rsidR="008F65F5" w:rsidRPr="008048D3">
              <w:rPr>
                <w:rFonts w:ascii="Verdana" w:hAnsi="Verdana" w:cs="Arial"/>
                <w:sz w:val="16"/>
                <w:szCs w:val="16"/>
                <w:lang w:val="lt-LT"/>
              </w:rPr>
              <w:t xml:space="preserve">. </w:t>
            </w:r>
            <w:r w:rsidRPr="008048D3">
              <w:rPr>
                <w:rFonts w:ascii="Verdana" w:hAnsi="Verdana" w:cs="Arial"/>
                <w:sz w:val="16"/>
                <w:szCs w:val="16"/>
                <w:lang w:val="lt-LT"/>
              </w:rPr>
              <w:t xml:space="preserve">Bendrovė registruota Lietuvos Respublikos juridinių asmenų registre, juridinio asmens kodas </w:t>
            </w:r>
            <w:r w:rsidR="008F65F5" w:rsidRPr="008048D3">
              <w:rPr>
                <w:rFonts w:ascii="Verdana" w:hAnsi="Verdana" w:cs="Arial"/>
                <w:sz w:val="16"/>
                <w:szCs w:val="16"/>
                <w:lang w:val="lt-LT"/>
              </w:rPr>
              <w:t xml:space="preserve">126264360. </w:t>
            </w:r>
            <w:r w:rsidRPr="008048D3">
              <w:rPr>
                <w:rFonts w:ascii="Verdana" w:hAnsi="Verdana" w:cs="Arial"/>
                <w:sz w:val="16"/>
                <w:szCs w:val="16"/>
                <w:lang w:val="lt-LT"/>
              </w:rPr>
              <w:t>Bendrovė yra įsteigta ir veikia pagal Lietuvos Respublikos įstatymus.</w:t>
            </w:r>
          </w:p>
          <w:p w14:paraId="052F3C30" w14:textId="77777777" w:rsidR="008F65F5" w:rsidRPr="008048D3" w:rsidRDefault="008F65F5" w:rsidP="008F65F5">
            <w:pPr>
              <w:jc w:val="both"/>
              <w:rPr>
                <w:rFonts w:ascii="Verdana" w:hAnsi="Verdana" w:cs="Arial"/>
                <w:sz w:val="16"/>
                <w:szCs w:val="16"/>
                <w:lang w:val="lt-LT"/>
              </w:rPr>
            </w:pPr>
          </w:p>
        </w:tc>
      </w:tr>
      <w:tr w:rsidR="008F65F5" w:rsidRPr="00CD3453" w14:paraId="08D065B4" w14:textId="77777777" w:rsidTr="00CA53A5">
        <w:trPr>
          <w:trHeight w:val="2518"/>
        </w:trPr>
        <w:tc>
          <w:tcPr>
            <w:tcW w:w="288" w:type="pct"/>
          </w:tcPr>
          <w:p w14:paraId="1BBAA623"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B.3</w:t>
            </w:r>
          </w:p>
        </w:tc>
        <w:tc>
          <w:tcPr>
            <w:tcW w:w="621" w:type="pct"/>
            <w:gridSpan w:val="2"/>
          </w:tcPr>
          <w:p w14:paraId="628455FF" w14:textId="4D2F2270" w:rsidR="008F65F5" w:rsidRPr="008048D3" w:rsidRDefault="00D00BDC" w:rsidP="008F65F5">
            <w:pPr>
              <w:spacing w:after="40"/>
              <w:rPr>
                <w:rFonts w:ascii="Verdana" w:hAnsi="Verdana" w:cs="Arial"/>
                <w:sz w:val="16"/>
                <w:szCs w:val="16"/>
                <w:lang w:val="lt-LT"/>
              </w:rPr>
            </w:pPr>
            <w:r w:rsidRPr="008048D3">
              <w:rPr>
                <w:rFonts w:ascii="Verdana" w:hAnsi="Verdana" w:cs="Arial"/>
                <w:sz w:val="16"/>
                <w:szCs w:val="16"/>
                <w:lang w:val="lt-LT"/>
              </w:rPr>
              <w:t xml:space="preserve">Pagrindiniai veiksniai, susiję su dabartine veikla, pagrindinės veiklos rūšys, parduotų produktų ir suteiktų paslaugų kategorijos. </w:t>
            </w:r>
            <w:r w:rsidRPr="008048D3">
              <w:rPr>
                <w:rFonts w:ascii="Verdana" w:hAnsi="Verdana" w:cs="Arial"/>
                <w:sz w:val="16"/>
                <w:szCs w:val="16"/>
                <w:lang w:val="lt-LT"/>
              </w:rPr>
              <w:lastRenderedPageBreak/>
              <w:t xml:space="preserve">Pagrindinės rinkos </w:t>
            </w:r>
          </w:p>
        </w:tc>
        <w:tc>
          <w:tcPr>
            <w:tcW w:w="4091" w:type="pct"/>
          </w:tcPr>
          <w:p w14:paraId="00170556" w14:textId="30E77E3C" w:rsidR="004404DC" w:rsidRPr="008048D3" w:rsidRDefault="00AE3031" w:rsidP="004404DC">
            <w:pPr>
              <w:jc w:val="both"/>
              <w:rPr>
                <w:rFonts w:ascii="Verdana" w:hAnsi="Verdana"/>
                <w:sz w:val="16"/>
                <w:szCs w:val="16"/>
                <w:lang w:val="lt-LT"/>
              </w:rPr>
            </w:pPr>
            <w:r w:rsidRPr="008048D3">
              <w:rPr>
                <w:rFonts w:ascii="Verdana" w:hAnsi="Verdana"/>
                <w:sz w:val="16"/>
                <w:szCs w:val="16"/>
                <w:lang w:val="lt-LT"/>
              </w:rPr>
              <w:lastRenderedPageBreak/>
              <w:t>Bendrovė yra viena didžiausių pirminės žemės ūkio produkcijos gamintojų Lietuvoje</w:t>
            </w:r>
            <w:r w:rsidR="009F7D84" w:rsidRPr="008048D3">
              <w:rPr>
                <w:rFonts w:ascii="Verdana" w:hAnsi="Verdana"/>
                <w:sz w:val="16"/>
                <w:szCs w:val="16"/>
                <w:lang w:val="lt-LT"/>
              </w:rPr>
              <w:t xml:space="preserve">. </w:t>
            </w:r>
            <w:r w:rsidR="000A54EB" w:rsidRPr="008048D3">
              <w:rPr>
                <w:rFonts w:ascii="Verdana" w:hAnsi="Verdana"/>
                <w:sz w:val="16"/>
                <w:szCs w:val="16"/>
                <w:lang w:val="lt-LT"/>
              </w:rPr>
              <w:t xml:space="preserve">Valdydama </w:t>
            </w:r>
            <w:r w:rsidR="009F7D84" w:rsidRPr="008048D3">
              <w:rPr>
                <w:rFonts w:ascii="Verdana" w:hAnsi="Verdana"/>
                <w:sz w:val="16"/>
                <w:szCs w:val="16"/>
                <w:lang w:val="lt-LT"/>
              </w:rPr>
              <w:t xml:space="preserve">38 </w:t>
            </w:r>
            <w:r w:rsidR="00EB41A0" w:rsidRPr="008048D3">
              <w:rPr>
                <w:rFonts w:ascii="Verdana" w:hAnsi="Verdana"/>
                <w:sz w:val="16"/>
                <w:szCs w:val="16"/>
                <w:lang w:val="lt-LT"/>
              </w:rPr>
              <w:t>tūkst.</w:t>
            </w:r>
            <w:r w:rsidR="009F7D84" w:rsidRPr="008048D3">
              <w:rPr>
                <w:rFonts w:ascii="Verdana" w:hAnsi="Verdana"/>
                <w:sz w:val="16"/>
                <w:szCs w:val="16"/>
                <w:lang w:val="lt-LT"/>
              </w:rPr>
              <w:t xml:space="preserve"> ha </w:t>
            </w:r>
            <w:r w:rsidR="00EB41A0" w:rsidRPr="008048D3">
              <w:rPr>
                <w:rFonts w:ascii="Verdana" w:hAnsi="Verdana"/>
                <w:sz w:val="16"/>
                <w:szCs w:val="16"/>
                <w:lang w:val="lt-LT"/>
              </w:rPr>
              <w:t>dirbamo</w:t>
            </w:r>
            <w:r w:rsidR="002E6EE0" w:rsidRPr="008048D3">
              <w:rPr>
                <w:rFonts w:ascii="Verdana" w:hAnsi="Verdana"/>
                <w:sz w:val="16"/>
                <w:szCs w:val="16"/>
                <w:lang w:val="lt-LT"/>
              </w:rPr>
              <w:t>s</w:t>
            </w:r>
            <w:r w:rsidR="00EB41A0" w:rsidRPr="008048D3">
              <w:rPr>
                <w:rFonts w:ascii="Verdana" w:hAnsi="Verdana"/>
                <w:sz w:val="16"/>
                <w:szCs w:val="16"/>
                <w:lang w:val="lt-LT"/>
              </w:rPr>
              <w:t xml:space="preserve"> žemės</w:t>
            </w:r>
            <w:r w:rsidR="009F7D84" w:rsidRPr="008048D3">
              <w:rPr>
                <w:rFonts w:ascii="Verdana" w:hAnsi="Verdana"/>
                <w:sz w:val="16"/>
                <w:szCs w:val="16"/>
                <w:lang w:val="lt-LT"/>
              </w:rPr>
              <w:t>, Grup</w:t>
            </w:r>
            <w:r w:rsidR="00EB41A0" w:rsidRPr="008048D3">
              <w:rPr>
                <w:rFonts w:ascii="Verdana" w:hAnsi="Verdana"/>
                <w:sz w:val="16"/>
                <w:szCs w:val="16"/>
                <w:lang w:val="lt-LT"/>
              </w:rPr>
              <w:t xml:space="preserve">ė teigia, kad ji yra didžiausia vertikaliai integruota ekologiško maisto bendrovė </w:t>
            </w:r>
            <w:r w:rsidR="009F7D84" w:rsidRPr="008048D3">
              <w:rPr>
                <w:rFonts w:ascii="Verdana" w:hAnsi="Verdana"/>
                <w:sz w:val="16"/>
                <w:szCs w:val="16"/>
                <w:lang w:val="lt-LT"/>
              </w:rPr>
              <w:t>Europ</w:t>
            </w:r>
            <w:r w:rsidR="00EB41A0" w:rsidRPr="008048D3">
              <w:rPr>
                <w:rFonts w:ascii="Verdana" w:hAnsi="Verdana"/>
                <w:sz w:val="16"/>
                <w:szCs w:val="16"/>
                <w:lang w:val="lt-LT"/>
              </w:rPr>
              <w:t>o</w:t>
            </w:r>
            <w:r w:rsidR="00810901" w:rsidRPr="008048D3">
              <w:rPr>
                <w:rFonts w:ascii="Verdana" w:hAnsi="Verdana"/>
                <w:sz w:val="16"/>
                <w:szCs w:val="16"/>
                <w:lang w:val="lt-LT"/>
              </w:rPr>
              <w:t>je</w:t>
            </w:r>
            <w:r w:rsidR="009F7D84" w:rsidRPr="008048D3">
              <w:rPr>
                <w:rFonts w:ascii="Verdana" w:hAnsi="Verdana"/>
                <w:sz w:val="16"/>
                <w:szCs w:val="16"/>
                <w:lang w:val="lt-LT"/>
              </w:rPr>
              <w:t xml:space="preserve">, </w:t>
            </w:r>
            <w:r w:rsidR="00EB41A0" w:rsidRPr="008048D3">
              <w:rPr>
                <w:rFonts w:ascii="Verdana" w:hAnsi="Verdana"/>
                <w:sz w:val="16"/>
                <w:szCs w:val="16"/>
                <w:lang w:val="lt-LT"/>
              </w:rPr>
              <w:t>k</w:t>
            </w:r>
            <w:r w:rsidR="009F7D84" w:rsidRPr="008048D3">
              <w:rPr>
                <w:rFonts w:ascii="Verdana" w:hAnsi="Verdana"/>
                <w:sz w:val="16"/>
                <w:szCs w:val="16"/>
                <w:lang w:val="lt-LT"/>
              </w:rPr>
              <w:t>ontrol</w:t>
            </w:r>
            <w:r w:rsidR="00EB41A0" w:rsidRPr="008048D3">
              <w:rPr>
                <w:rFonts w:ascii="Verdana" w:hAnsi="Verdana"/>
                <w:sz w:val="16"/>
                <w:szCs w:val="16"/>
                <w:lang w:val="lt-LT"/>
              </w:rPr>
              <w:t xml:space="preserve">iuojanti visą procesą nuo </w:t>
            </w:r>
            <w:r w:rsidR="007742D7" w:rsidRPr="008048D3">
              <w:rPr>
                <w:rFonts w:ascii="Verdana" w:hAnsi="Verdana"/>
                <w:sz w:val="16"/>
                <w:szCs w:val="16"/>
                <w:lang w:val="lt-LT"/>
              </w:rPr>
              <w:t>lauko</w:t>
            </w:r>
            <w:r w:rsidR="00EB41A0" w:rsidRPr="008048D3">
              <w:rPr>
                <w:rFonts w:ascii="Verdana" w:hAnsi="Verdana"/>
                <w:sz w:val="16"/>
                <w:szCs w:val="16"/>
                <w:lang w:val="lt-LT"/>
              </w:rPr>
              <w:t xml:space="preserve"> iki galutinio produkto</w:t>
            </w:r>
            <w:r w:rsidR="009F7D84" w:rsidRPr="008048D3">
              <w:rPr>
                <w:rFonts w:ascii="Verdana" w:hAnsi="Verdana"/>
                <w:sz w:val="16"/>
                <w:szCs w:val="16"/>
                <w:lang w:val="lt-LT"/>
              </w:rPr>
              <w:t xml:space="preserve">. </w:t>
            </w:r>
            <w:r w:rsidR="00EB41A0" w:rsidRPr="008048D3">
              <w:rPr>
                <w:rFonts w:ascii="Verdana" w:hAnsi="Verdana"/>
                <w:sz w:val="16"/>
                <w:szCs w:val="16"/>
                <w:lang w:val="lt-LT"/>
              </w:rPr>
              <w:t>Viena pagrindinių Grupės stiprybių yra gebėjimas tiekti didelius kiekius įvairių ekologiškų produktų ir užtikrinti gamybos grandinės k</w:t>
            </w:r>
            <w:r w:rsidR="009F7D84" w:rsidRPr="008048D3">
              <w:rPr>
                <w:rFonts w:ascii="Verdana" w:hAnsi="Verdana"/>
                <w:sz w:val="16"/>
                <w:szCs w:val="16"/>
                <w:lang w:val="lt-LT"/>
              </w:rPr>
              <w:t>ontrol</w:t>
            </w:r>
            <w:r w:rsidR="00EB41A0" w:rsidRPr="008048D3">
              <w:rPr>
                <w:rFonts w:ascii="Verdana" w:hAnsi="Verdana"/>
                <w:sz w:val="16"/>
                <w:szCs w:val="16"/>
                <w:lang w:val="lt-LT"/>
              </w:rPr>
              <w:t>ę ir atsekamumą</w:t>
            </w:r>
            <w:r w:rsidR="0024213A" w:rsidRPr="008048D3">
              <w:rPr>
                <w:rFonts w:ascii="Verdana" w:hAnsi="Verdana"/>
                <w:sz w:val="16"/>
                <w:szCs w:val="16"/>
                <w:lang w:val="lt-LT"/>
              </w:rPr>
              <w:t xml:space="preserve">. </w:t>
            </w:r>
          </w:p>
          <w:p w14:paraId="2135FF78" w14:textId="77777777" w:rsidR="004404DC" w:rsidRPr="008048D3" w:rsidRDefault="004404DC" w:rsidP="004404DC">
            <w:pPr>
              <w:jc w:val="both"/>
              <w:rPr>
                <w:rFonts w:ascii="Verdana" w:hAnsi="Verdana"/>
                <w:sz w:val="16"/>
                <w:szCs w:val="16"/>
                <w:lang w:val="lt-LT"/>
              </w:rPr>
            </w:pPr>
          </w:p>
          <w:p w14:paraId="0D2523DF" w14:textId="15E0D42A" w:rsidR="009F7D84" w:rsidRPr="008048D3" w:rsidRDefault="00EB41A0" w:rsidP="004404DC">
            <w:pPr>
              <w:jc w:val="both"/>
              <w:rPr>
                <w:rFonts w:ascii="Verdana" w:hAnsi="Verdana"/>
                <w:sz w:val="16"/>
                <w:szCs w:val="16"/>
                <w:lang w:val="lt-LT"/>
              </w:rPr>
            </w:pPr>
            <w:r w:rsidRPr="008048D3">
              <w:rPr>
                <w:rFonts w:ascii="Verdana" w:hAnsi="Verdana"/>
                <w:sz w:val="16"/>
                <w:szCs w:val="16"/>
                <w:lang w:val="lt-LT"/>
              </w:rPr>
              <w:t>Kadangi didžioji dalis pajamų gaunama iš grybų</w:t>
            </w:r>
            <w:r w:rsidR="004404DC" w:rsidRPr="008048D3">
              <w:rPr>
                <w:rFonts w:ascii="Verdana" w:hAnsi="Verdana"/>
                <w:sz w:val="16"/>
                <w:szCs w:val="16"/>
                <w:lang w:val="lt-LT"/>
              </w:rPr>
              <w:t xml:space="preserve">, </w:t>
            </w:r>
            <w:r w:rsidR="000A54EB" w:rsidRPr="008048D3">
              <w:rPr>
                <w:rFonts w:ascii="Verdana" w:hAnsi="Verdana"/>
                <w:sz w:val="16"/>
                <w:szCs w:val="16"/>
                <w:lang w:val="lt-LT"/>
              </w:rPr>
              <w:t xml:space="preserve">grūdų </w:t>
            </w:r>
            <w:r w:rsidRPr="008048D3">
              <w:rPr>
                <w:rFonts w:ascii="Verdana" w:hAnsi="Verdana"/>
                <w:sz w:val="16"/>
                <w:szCs w:val="16"/>
                <w:lang w:val="lt-LT"/>
              </w:rPr>
              <w:t>ir pieno pardavimo</w:t>
            </w:r>
            <w:r w:rsidR="004404DC" w:rsidRPr="008048D3">
              <w:rPr>
                <w:rFonts w:ascii="Verdana" w:hAnsi="Verdana"/>
                <w:sz w:val="16"/>
                <w:szCs w:val="16"/>
                <w:lang w:val="lt-LT"/>
              </w:rPr>
              <w:t>, Grup</w:t>
            </w:r>
            <w:r w:rsidRPr="008048D3">
              <w:rPr>
                <w:rFonts w:ascii="Verdana" w:hAnsi="Verdana"/>
                <w:sz w:val="16"/>
                <w:szCs w:val="16"/>
                <w:lang w:val="lt-LT"/>
              </w:rPr>
              <w:t>ė</w:t>
            </w:r>
            <w:r w:rsidR="004404DC" w:rsidRPr="008048D3">
              <w:rPr>
                <w:rFonts w:ascii="Verdana" w:hAnsi="Verdana"/>
                <w:sz w:val="16"/>
                <w:szCs w:val="16"/>
                <w:lang w:val="lt-LT"/>
              </w:rPr>
              <w:t xml:space="preserve"> </w:t>
            </w:r>
            <w:r w:rsidRPr="008048D3">
              <w:rPr>
                <w:rFonts w:ascii="Verdana" w:hAnsi="Verdana"/>
                <w:sz w:val="16"/>
                <w:szCs w:val="16"/>
                <w:lang w:val="lt-LT"/>
              </w:rPr>
              <w:t xml:space="preserve">skirsto savo veiklą į šiuos </w:t>
            </w:r>
            <w:r w:rsidR="004404DC" w:rsidRPr="008048D3">
              <w:rPr>
                <w:rFonts w:ascii="Verdana" w:hAnsi="Verdana"/>
                <w:sz w:val="16"/>
                <w:szCs w:val="16"/>
                <w:lang w:val="lt-LT"/>
              </w:rPr>
              <w:t>segment</w:t>
            </w:r>
            <w:r w:rsidRPr="008048D3">
              <w:rPr>
                <w:rFonts w:ascii="Verdana" w:hAnsi="Verdana"/>
                <w:sz w:val="16"/>
                <w:szCs w:val="16"/>
                <w:lang w:val="lt-LT"/>
              </w:rPr>
              <w:t>u</w:t>
            </w:r>
            <w:r w:rsidR="004404DC" w:rsidRPr="008048D3">
              <w:rPr>
                <w:rFonts w:ascii="Verdana" w:hAnsi="Verdana"/>
                <w:sz w:val="16"/>
                <w:szCs w:val="16"/>
                <w:lang w:val="lt-LT"/>
              </w:rPr>
              <w:t>s: (i) </w:t>
            </w:r>
            <w:r w:rsidRPr="008048D3">
              <w:rPr>
                <w:rFonts w:ascii="Verdana" w:hAnsi="Verdana"/>
                <w:sz w:val="16"/>
                <w:szCs w:val="16"/>
                <w:lang w:val="lt-LT"/>
              </w:rPr>
              <w:t>pienininkystė</w:t>
            </w:r>
            <w:r w:rsidR="004404DC" w:rsidRPr="008048D3">
              <w:rPr>
                <w:rFonts w:ascii="Verdana" w:hAnsi="Verdana"/>
                <w:sz w:val="16"/>
                <w:szCs w:val="16"/>
                <w:lang w:val="lt-LT"/>
              </w:rPr>
              <w:t xml:space="preserve">, (ii) </w:t>
            </w:r>
            <w:r w:rsidR="000A54EB" w:rsidRPr="008048D3">
              <w:rPr>
                <w:rFonts w:ascii="Verdana" w:hAnsi="Verdana"/>
                <w:sz w:val="16"/>
                <w:szCs w:val="16"/>
                <w:lang w:val="lt-LT"/>
              </w:rPr>
              <w:t xml:space="preserve">grūdų </w:t>
            </w:r>
            <w:r w:rsidRPr="008048D3">
              <w:rPr>
                <w:rFonts w:ascii="Verdana" w:hAnsi="Verdana"/>
                <w:sz w:val="16"/>
                <w:szCs w:val="16"/>
                <w:lang w:val="lt-LT"/>
              </w:rPr>
              <w:t>auginimas</w:t>
            </w:r>
            <w:r w:rsidR="004404DC" w:rsidRPr="008048D3">
              <w:rPr>
                <w:rFonts w:ascii="Verdana" w:hAnsi="Verdana"/>
                <w:sz w:val="16"/>
                <w:szCs w:val="16"/>
                <w:lang w:val="lt-LT"/>
              </w:rPr>
              <w:t xml:space="preserve">, </w:t>
            </w:r>
            <w:r w:rsidRPr="008048D3">
              <w:rPr>
                <w:rFonts w:ascii="Verdana" w:hAnsi="Verdana"/>
                <w:sz w:val="16"/>
                <w:szCs w:val="16"/>
                <w:lang w:val="lt-LT"/>
              </w:rPr>
              <w:t>kuris apima kviečių, ank</w:t>
            </w:r>
            <w:r w:rsidR="002E6EE0" w:rsidRPr="008048D3">
              <w:rPr>
                <w:rFonts w:ascii="Verdana" w:hAnsi="Verdana"/>
                <w:sz w:val="16"/>
                <w:szCs w:val="16"/>
                <w:lang w:val="lt-LT"/>
              </w:rPr>
              <w:t>š</w:t>
            </w:r>
            <w:r w:rsidRPr="008048D3">
              <w:rPr>
                <w:rFonts w:ascii="Verdana" w:hAnsi="Verdana"/>
                <w:sz w:val="16"/>
                <w:szCs w:val="16"/>
                <w:lang w:val="lt-LT"/>
              </w:rPr>
              <w:t>tinių kultūrų, rapsų, miežių, taip pat kelių kitų žemės ūkio kultūrų</w:t>
            </w:r>
            <w:r w:rsidR="004404DC" w:rsidRPr="008048D3">
              <w:rPr>
                <w:rFonts w:ascii="Verdana" w:hAnsi="Verdana"/>
                <w:sz w:val="16"/>
                <w:szCs w:val="16"/>
                <w:lang w:val="lt-LT"/>
              </w:rPr>
              <w:t xml:space="preserve">, </w:t>
            </w:r>
            <w:r w:rsidRPr="008048D3">
              <w:rPr>
                <w:rFonts w:ascii="Verdana" w:hAnsi="Verdana"/>
                <w:sz w:val="16"/>
                <w:szCs w:val="16"/>
                <w:lang w:val="lt-LT"/>
              </w:rPr>
              <w:t xml:space="preserve">įskaitant </w:t>
            </w:r>
            <w:r w:rsidR="00955A9F" w:rsidRPr="008048D3">
              <w:rPr>
                <w:rFonts w:ascii="Verdana" w:hAnsi="Verdana"/>
                <w:sz w:val="16"/>
                <w:szCs w:val="16"/>
                <w:lang w:val="lt-LT"/>
              </w:rPr>
              <w:t>žolę ir kukurūzus pašarams</w:t>
            </w:r>
            <w:r w:rsidR="004404DC" w:rsidRPr="008048D3">
              <w:rPr>
                <w:rFonts w:ascii="Verdana" w:hAnsi="Verdana"/>
                <w:sz w:val="16"/>
                <w:szCs w:val="16"/>
                <w:lang w:val="lt-LT"/>
              </w:rPr>
              <w:t xml:space="preserve">, </w:t>
            </w:r>
            <w:r w:rsidR="00955A9F" w:rsidRPr="008048D3">
              <w:rPr>
                <w:rFonts w:ascii="Verdana" w:hAnsi="Verdana"/>
                <w:sz w:val="16"/>
                <w:szCs w:val="16"/>
                <w:lang w:val="lt-LT"/>
              </w:rPr>
              <w:t xml:space="preserve">auginimą, </w:t>
            </w:r>
            <w:r w:rsidR="004404DC" w:rsidRPr="008048D3">
              <w:rPr>
                <w:rFonts w:ascii="Verdana" w:hAnsi="Verdana"/>
                <w:sz w:val="16"/>
                <w:szCs w:val="16"/>
                <w:lang w:val="lt-LT"/>
              </w:rPr>
              <w:t xml:space="preserve">(iii) </w:t>
            </w:r>
            <w:r w:rsidR="00955A9F" w:rsidRPr="008048D3">
              <w:rPr>
                <w:rFonts w:ascii="Verdana" w:hAnsi="Verdana"/>
                <w:sz w:val="16"/>
                <w:szCs w:val="16"/>
                <w:lang w:val="lt-LT"/>
              </w:rPr>
              <w:t xml:space="preserve">grybų auginimas ir </w:t>
            </w:r>
            <w:r w:rsidR="004404DC" w:rsidRPr="008048D3">
              <w:rPr>
                <w:rFonts w:ascii="Verdana" w:hAnsi="Verdana"/>
                <w:sz w:val="16"/>
                <w:szCs w:val="16"/>
                <w:lang w:val="lt-LT"/>
              </w:rPr>
              <w:t xml:space="preserve">(iv) </w:t>
            </w:r>
            <w:r w:rsidR="00955A9F" w:rsidRPr="008048D3">
              <w:rPr>
                <w:rFonts w:ascii="Verdana" w:hAnsi="Verdana"/>
                <w:sz w:val="16"/>
                <w:szCs w:val="16"/>
                <w:lang w:val="lt-LT"/>
              </w:rPr>
              <w:t xml:space="preserve">kiti </w:t>
            </w:r>
            <w:r w:rsidR="004404DC" w:rsidRPr="008048D3">
              <w:rPr>
                <w:rFonts w:ascii="Verdana" w:hAnsi="Verdana"/>
                <w:sz w:val="16"/>
                <w:szCs w:val="16"/>
                <w:lang w:val="lt-LT"/>
              </w:rPr>
              <w:t>segment</w:t>
            </w:r>
            <w:r w:rsidR="00955A9F" w:rsidRPr="008048D3">
              <w:rPr>
                <w:rFonts w:ascii="Verdana" w:hAnsi="Verdana"/>
                <w:sz w:val="16"/>
                <w:szCs w:val="16"/>
                <w:lang w:val="lt-LT"/>
              </w:rPr>
              <w:t>ai</w:t>
            </w:r>
            <w:r w:rsidR="004404DC" w:rsidRPr="008048D3">
              <w:rPr>
                <w:rFonts w:ascii="Verdana" w:hAnsi="Verdana"/>
                <w:sz w:val="16"/>
                <w:szCs w:val="16"/>
                <w:lang w:val="lt-LT"/>
              </w:rPr>
              <w:t xml:space="preserve">, </w:t>
            </w:r>
            <w:r w:rsidR="00955A9F" w:rsidRPr="008048D3">
              <w:rPr>
                <w:rFonts w:ascii="Verdana" w:hAnsi="Verdana"/>
                <w:sz w:val="16"/>
                <w:szCs w:val="16"/>
                <w:lang w:val="lt-LT"/>
              </w:rPr>
              <w:t>kurie apima įvairias su žemės ūkiu susijusias paslaugas</w:t>
            </w:r>
            <w:r w:rsidR="004404DC" w:rsidRPr="008048D3">
              <w:rPr>
                <w:rFonts w:ascii="Verdana" w:hAnsi="Verdana"/>
                <w:sz w:val="16"/>
                <w:szCs w:val="16"/>
                <w:lang w:val="lt-LT"/>
              </w:rPr>
              <w:t xml:space="preserve">, </w:t>
            </w:r>
            <w:r w:rsidR="00955A9F" w:rsidRPr="008048D3">
              <w:rPr>
                <w:rFonts w:ascii="Verdana" w:hAnsi="Verdana"/>
                <w:sz w:val="16"/>
                <w:szCs w:val="16"/>
                <w:lang w:val="lt-LT"/>
              </w:rPr>
              <w:t>pavyzdžiui</w:t>
            </w:r>
            <w:r w:rsidR="004404DC" w:rsidRPr="008048D3">
              <w:rPr>
                <w:rFonts w:ascii="Verdana" w:hAnsi="Verdana"/>
                <w:sz w:val="16"/>
                <w:szCs w:val="16"/>
                <w:lang w:val="lt-LT"/>
              </w:rPr>
              <w:t xml:space="preserve">, </w:t>
            </w:r>
            <w:r w:rsidR="00955A9F" w:rsidRPr="008048D3">
              <w:rPr>
                <w:rFonts w:ascii="Verdana" w:hAnsi="Verdana"/>
                <w:sz w:val="16"/>
                <w:szCs w:val="16"/>
                <w:lang w:val="lt-LT"/>
              </w:rPr>
              <w:t>derliaus pardavimą</w:t>
            </w:r>
            <w:r w:rsidR="004404DC" w:rsidRPr="008048D3">
              <w:rPr>
                <w:rFonts w:ascii="Verdana" w:hAnsi="Verdana"/>
                <w:sz w:val="16"/>
                <w:szCs w:val="16"/>
                <w:lang w:val="lt-LT"/>
              </w:rPr>
              <w:t xml:space="preserve">, </w:t>
            </w:r>
            <w:r w:rsidR="00955A9F" w:rsidRPr="008048D3">
              <w:rPr>
                <w:rFonts w:ascii="Verdana" w:hAnsi="Verdana"/>
                <w:sz w:val="16"/>
                <w:szCs w:val="16"/>
                <w:lang w:val="lt-LT"/>
              </w:rPr>
              <w:t>nedidelės apimties žemės nuomą</w:t>
            </w:r>
            <w:r w:rsidR="004404DC" w:rsidRPr="008048D3">
              <w:rPr>
                <w:rFonts w:ascii="Verdana" w:hAnsi="Verdana"/>
                <w:sz w:val="16"/>
                <w:szCs w:val="16"/>
                <w:lang w:val="lt-LT"/>
              </w:rPr>
              <w:t xml:space="preserve">, </w:t>
            </w:r>
            <w:r w:rsidR="00955A9F" w:rsidRPr="008048D3">
              <w:rPr>
                <w:rFonts w:ascii="Verdana" w:hAnsi="Verdana"/>
                <w:sz w:val="16"/>
                <w:szCs w:val="16"/>
                <w:lang w:val="lt-LT"/>
              </w:rPr>
              <w:t>pavyzdžiui</w:t>
            </w:r>
            <w:r w:rsidR="004404DC" w:rsidRPr="008048D3">
              <w:rPr>
                <w:rFonts w:ascii="Verdana" w:hAnsi="Verdana"/>
                <w:sz w:val="16"/>
                <w:szCs w:val="16"/>
                <w:lang w:val="lt-LT"/>
              </w:rPr>
              <w:t>, tele</w:t>
            </w:r>
            <w:r w:rsidR="00955A9F" w:rsidRPr="008048D3">
              <w:rPr>
                <w:rFonts w:ascii="Verdana" w:hAnsi="Verdana"/>
                <w:sz w:val="16"/>
                <w:szCs w:val="16"/>
                <w:lang w:val="lt-LT"/>
              </w:rPr>
              <w:t>k</w:t>
            </w:r>
            <w:r w:rsidR="004404DC" w:rsidRPr="008048D3">
              <w:rPr>
                <w:rFonts w:ascii="Verdana" w:hAnsi="Verdana"/>
                <w:sz w:val="16"/>
                <w:szCs w:val="16"/>
                <w:lang w:val="lt-LT"/>
              </w:rPr>
              <w:t>omuni</w:t>
            </w:r>
            <w:r w:rsidR="00955A9F" w:rsidRPr="008048D3">
              <w:rPr>
                <w:rFonts w:ascii="Verdana" w:hAnsi="Verdana"/>
                <w:sz w:val="16"/>
                <w:szCs w:val="16"/>
                <w:lang w:val="lt-LT"/>
              </w:rPr>
              <w:t>ka</w:t>
            </w:r>
            <w:r w:rsidR="004404DC" w:rsidRPr="008048D3">
              <w:rPr>
                <w:rFonts w:ascii="Verdana" w:hAnsi="Verdana"/>
                <w:sz w:val="16"/>
                <w:szCs w:val="16"/>
                <w:lang w:val="lt-LT"/>
              </w:rPr>
              <w:t>c</w:t>
            </w:r>
            <w:r w:rsidR="00955A9F" w:rsidRPr="008048D3">
              <w:rPr>
                <w:rFonts w:ascii="Verdana" w:hAnsi="Verdana"/>
                <w:sz w:val="16"/>
                <w:szCs w:val="16"/>
                <w:lang w:val="lt-LT"/>
              </w:rPr>
              <w:t xml:space="preserve">ijų įmonėms, kad šios galėtų įsirengti </w:t>
            </w:r>
            <w:r w:rsidR="002E6EE0" w:rsidRPr="008048D3">
              <w:rPr>
                <w:rFonts w:ascii="Verdana" w:hAnsi="Verdana"/>
                <w:sz w:val="16"/>
                <w:szCs w:val="16"/>
                <w:lang w:val="lt-LT"/>
              </w:rPr>
              <w:t xml:space="preserve">joms reikalingus </w:t>
            </w:r>
            <w:r w:rsidR="00955A9F" w:rsidRPr="008048D3">
              <w:rPr>
                <w:rFonts w:ascii="Verdana" w:hAnsi="Verdana"/>
                <w:sz w:val="16"/>
                <w:szCs w:val="16"/>
                <w:lang w:val="lt-LT"/>
              </w:rPr>
              <w:t>ryšio bokštus</w:t>
            </w:r>
            <w:r w:rsidR="004404DC" w:rsidRPr="008048D3">
              <w:rPr>
                <w:rFonts w:ascii="Verdana" w:hAnsi="Verdana"/>
                <w:sz w:val="16"/>
                <w:szCs w:val="16"/>
                <w:lang w:val="lt-LT"/>
              </w:rPr>
              <w:t xml:space="preserve">, </w:t>
            </w:r>
            <w:r w:rsidR="00955A9F" w:rsidRPr="008048D3">
              <w:rPr>
                <w:rFonts w:ascii="Verdana" w:hAnsi="Verdana"/>
                <w:sz w:val="16"/>
                <w:szCs w:val="16"/>
                <w:lang w:val="lt-LT"/>
              </w:rPr>
              <w:t xml:space="preserve">taip pat Grupės Dukterinėms įmonėms </w:t>
            </w:r>
            <w:r w:rsidR="00450005" w:rsidRPr="008048D3">
              <w:rPr>
                <w:rFonts w:ascii="Verdana" w:hAnsi="Verdana"/>
                <w:sz w:val="16"/>
                <w:szCs w:val="16"/>
                <w:lang w:val="lt-LT"/>
              </w:rPr>
              <w:t xml:space="preserve">(toliau – </w:t>
            </w:r>
            <w:r w:rsidR="00450005" w:rsidRPr="008048D3">
              <w:rPr>
                <w:rFonts w:ascii="Verdana" w:hAnsi="Verdana"/>
                <w:b/>
                <w:sz w:val="16"/>
                <w:szCs w:val="16"/>
                <w:lang w:val="lt-LT"/>
              </w:rPr>
              <w:t xml:space="preserve">Dukterinės </w:t>
            </w:r>
            <w:r w:rsidR="00450005" w:rsidRPr="008048D3">
              <w:rPr>
                <w:rFonts w:ascii="Verdana" w:hAnsi="Verdana"/>
                <w:b/>
                <w:sz w:val="16"/>
                <w:szCs w:val="16"/>
                <w:lang w:val="lt-LT"/>
              </w:rPr>
              <w:lastRenderedPageBreak/>
              <w:t>įmonės</w:t>
            </w:r>
            <w:r w:rsidR="00450005" w:rsidRPr="008048D3">
              <w:rPr>
                <w:rFonts w:ascii="Verdana" w:hAnsi="Verdana"/>
                <w:sz w:val="16"/>
                <w:szCs w:val="16"/>
                <w:lang w:val="lt-LT"/>
              </w:rPr>
              <w:t xml:space="preserve">) </w:t>
            </w:r>
            <w:r w:rsidR="00955A9F" w:rsidRPr="008048D3">
              <w:rPr>
                <w:rFonts w:ascii="Verdana" w:hAnsi="Verdana"/>
                <w:sz w:val="16"/>
                <w:szCs w:val="16"/>
                <w:lang w:val="lt-LT"/>
              </w:rPr>
              <w:t>teikiamas apskaitos ir valdymo paslaugas</w:t>
            </w:r>
            <w:r w:rsidR="004404DC" w:rsidRPr="008048D3">
              <w:rPr>
                <w:rFonts w:ascii="Verdana" w:hAnsi="Verdana"/>
                <w:sz w:val="16"/>
                <w:szCs w:val="16"/>
                <w:lang w:val="lt-LT"/>
              </w:rPr>
              <w:t>.</w:t>
            </w:r>
            <w:r w:rsidR="009F7D84" w:rsidRPr="008048D3">
              <w:rPr>
                <w:rFonts w:ascii="Verdana" w:hAnsi="Verdana"/>
                <w:sz w:val="16"/>
                <w:szCs w:val="16"/>
                <w:lang w:val="lt-LT"/>
              </w:rPr>
              <w:t xml:space="preserve"> </w:t>
            </w:r>
          </w:p>
          <w:p w14:paraId="3D2B2911" w14:textId="77777777" w:rsidR="008F65F5" w:rsidRPr="008048D3" w:rsidRDefault="008F65F5" w:rsidP="00B93956">
            <w:pPr>
              <w:ind w:right="-32"/>
              <w:jc w:val="both"/>
              <w:rPr>
                <w:rFonts w:ascii="Verdana" w:hAnsi="Verdana" w:cs="Arial"/>
                <w:sz w:val="16"/>
                <w:szCs w:val="16"/>
                <w:lang w:val="lt-LT"/>
              </w:rPr>
            </w:pPr>
          </w:p>
          <w:p w14:paraId="09E3F23B" w14:textId="260EB5D7" w:rsidR="0024213A" w:rsidRPr="008048D3" w:rsidRDefault="002E6EE0" w:rsidP="0024213A">
            <w:pPr>
              <w:ind w:right="-32"/>
              <w:jc w:val="both"/>
              <w:rPr>
                <w:rFonts w:ascii="Verdana" w:hAnsi="Verdana"/>
                <w:sz w:val="16"/>
                <w:szCs w:val="16"/>
                <w:lang w:val="lt-LT"/>
              </w:rPr>
            </w:pPr>
            <w:r w:rsidRPr="008048D3">
              <w:rPr>
                <w:rFonts w:ascii="Verdana" w:hAnsi="Verdana"/>
                <w:sz w:val="16"/>
                <w:szCs w:val="16"/>
                <w:lang w:val="lt-LT"/>
              </w:rPr>
              <w:t xml:space="preserve">Apie </w:t>
            </w:r>
            <w:r w:rsidR="0024213A" w:rsidRPr="008048D3">
              <w:rPr>
                <w:rFonts w:ascii="Verdana" w:hAnsi="Verdana"/>
                <w:sz w:val="16"/>
                <w:szCs w:val="16"/>
                <w:lang w:val="lt-LT"/>
              </w:rPr>
              <w:t xml:space="preserve">50% </w:t>
            </w:r>
            <w:r w:rsidR="004F3688" w:rsidRPr="008048D3">
              <w:rPr>
                <w:rFonts w:ascii="Verdana" w:hAnsi="Verdana"/>
                <w:sz w:val="16"/>
                <w:szCs w:val="16"/>
                <w:lang w:val="lt-LT"/>
              </w:rPr>
              <w:t>visų pajamų</w:t>
            </w:r>
            <w:r w:rsidRPr="008048D3">
              <w:rPr>
                <w:rFonts w:ascii="Verdana" w:hAnsi="Verdana"/>
                <w:sz w:val="16"/>
                <w:szCs w:val="16"/>
                <w:lang w:val="lt-LT"/>
              </w:rPr>
              <w:t xml:space="preserve"> Grupė gavo iš 10 didžiausių pirkėjų (pagal apyvartą)</w:t>
            </w:r>
            <w:r w:rsidR="0024213A" w:rsidRPr="008048D3">
              <w:rPr>
                <w:rFonts w:ascii="Verdana" w:hAnsi="Verdana"/>
                <w:sz w:val="16"/>
                <w:szCs w:val="16"/>
                <w:lang w:val="lt-LT"/>
              </w:rPr>
              <w:t>. Grup</w:t>
            </w:r>
            <w:r w:rsidR="004F3688" w:rsidRPr="008048D3">
              <w:rPr>
                <w:rFonts w:ascii="Verdana" w:hAnsi="Verdana"/>
                <w:sz w:val="16"/>
                <w:szCs w:val="16"/>
                <w:lang w:val="lt-LT"/>
              </w:rPr>
              <w:t>ė orientuoja</w:t>
            </w:r>
            <w:r w:rsidR="00D6671E" w:rsidRPr="008048D3">
              <w:rPr>
                <w:rFonts w:ascii="Verdana" w:hAnsi="Verdana"/>
                <w:sz w:val="16"/>
                <w:szCs w:val="16"/>
                <w:lang w:val="lt-LT"/>
              </w:rPr>
              <w:t>s</w:t>
            </w:r>
            <w:r w:rsidR="004F3688" w:rsidRPr="008048D3">
              <w:rPr>
                <w:rFonts w:ascii="Verdana" w:hAnsi="Verdana"/>
                <w:sz w:val="16"/>
                <w:szCs w:val="16"/>
                <w:lang w:val="lt-LT"/>
              </w:rPr>
              <w:t>i į eksportą ir 2017 m. apie</w:t>
            </w:r>
            <w:r w:rsidR="0024213A" w:rsidRPr="008048D3">
              <w:rPr>
                <w:rFonts w:ascii="Verdana" w:hAnsi="Verdana"/>
                <w:sz w:val="16"/>
                <w:szCs w:val="16"/>
                <w:lang w:val="lt-LT"/>
              </w:rPr>
              <w:t xml:space="preserve"> 80% </w:t>
            </w:r>
            <w:r w:rsidR="00D6671E" w:rsidRPr="008048D3">
              <w:rPr>
                <w:rFonts w:ascii="Verdana" w:hAnsi="Verdana"/>
                <w:sz w:val="16"/>
                <w:szCs w:val="16"/>
                <w:lang w:val="lt-LT"/>
              </w:rPr>
              <w:t xml:space="preserve">jos </w:t>
            </w:r>
            <w:r w:rsidR="004F3688" w:rsidRPr="008048D3">
              <w:rPr>
                <w:rFonts w:ascii="Verdana" w:hAnsi="Verdana"/>
                <w:sz w:val="16"/>
                <w:szCs w:val="16"/>
                <w:lang w:val="lt-LT"/>
              </w:rPr>
              <w:t xml:space="preserve">pardavimo pajamų buvo </w:t>
            </w:r>
            <w:r w:rsidR="00D6671E" w:rsidRPr="008048D3">
              <w:rPr>
                <w:rFonts w:ascii="Verdana" w:hAnsi="Verdana"/>
                <w:sz w:val="16"/>
                <w:szCs w:val="16"/>
                <w:lang w:val="lt-LT"/>
              </w:rPr>
              <w:t xml:space="preserve">gauta </w:t>
            </w:r>
            <w:r w:rsidR="004F3688" w:rsidRPr="008048D3">
              <w:rPr>
                <w:rFonts w:ascii="Verdana" w:hAnsi="Verdana"/>
                <w:sz w:val="16"/>
                <w:szCs w:val="16"/>
                <w:lang w:val="lt-LT"/>
              </w:rPr>
              <w:t>iš eksporto</w:t>
            </w:r>
            <w:r w:rsidR="00D34408" w:rsidRPr="008048D3">
              <w:rPr>
                <w:rFonts w:ascii="Verdana" w:hAnsi="Verdana"/>
                <w:sz w:val="16"/>
                <w:szCs w:val="16"/>
                <w:lang w:val="lt-LT"/>
              </w:rPr>
              <w:t xml:space="preserve"> – daugiausia iš grybų, grūdų ir pieno eksporto</w:t>
            </w:r>
            <w:r w:rsidR="0024213A" w:rsidRPr="008048D3">
              <w:rPr>
                <w:rFonts w:ascii="Verdana" w:hAnsi="Verdana"/>
                <w:sz w:val="16"/>
                <w:szCs w:val="16"/>
                <w:lang w:val="lt-LT"/>
              </w:rPr>
              <w:t>. 2017</w:t>
            </w:r>
            <w:r w:rsidR="004F3688" w:rsidRPr="008048D3">
              <w:rPr>
                <w:rFonts w:ascii="Verdana" w:hAnsi="Verdana"/>
                <w:sz w:val="16"/>
                <w:szCs w:val="16"/>
                <w:lang w:val="lt-LT"/>
              </w:rPr>
              <w:t xml:space="preserve"> m.</w:t>
            </w:r>
            <w:r w:rsidR="0024213A" w:rsidRPr="008048D3">
              <w:rPr>
                <w:rFonts w:ascii="Verdana" w:hAnsi="Verdana"/>
                <w:sz w:val="16"/>
                <w:szCs w:val="16"/>
                <w:lang w:val="lt-LT"/>
              </w:rPr>
              <w:t xml:space="preserve"> </w:t>
            </w:r>
            <w:r w:rsidR="004F3688" w:rsidRPr="008048D3">
              <w:rPr>
                <w:rFonts w:ascii="Verdana" w:hAnsi="Verdana"/>
                <w:sz w:val="16"/>
                <w:szCs w:val="16"/>
                <w:lang w:val="lt-LT"/>
              </w:rPr>
              <w:t>pagrindinės Grupės eksporto rinkos buvo šios</w:t>
            </w:r>
            <w:r w:rsidR="0024213A" w:rsidRPr="008048D3">
              <w:rPr>
                <w:rFonts w:ascii="Verdana" w:hAnsi="Verdana"/>
                <w:sz w:val="16"/>
                <w:szCs w:val="16"/>
                <w:lang w:val="lt-LT"/>
              </w:rPr>
              <w:t>: S</w:t>
            </w:r>
            <w:r w:rsidR="004F3688" w:rsidRPr="008048D3">
              <w:rPr>
                <w:rFonts w:ascii="Verdana" w:hAnsi="Verdana"/>
                <w:sz w:val="16"/>
                <w:szCs w:val="16"/>
                <w:lang w:val="lt-LT"/>
              </w:rPr>
              <w:t>k</w:t>
            </w:r>
            <w:r w:rsidR="0024213A" w:rsidRPr="008048D3">
              <w:rPr>
                <w:rFonts w:ascii="Verdana" w:hAnsi="Verdana"/>
                <w:sz w:val="16"/>
                <w:szCs w:val="16"/>
                <w:lang w:val="lt-LT"/>
              </w:rPr>
              <w:t>andinavi</w:t>
            </w:r>
            <w:r w:rsidR="004F3688" w:rsidRPr="008048D3">
              <w:rPr>
                <w:rFonts w:ascii="Verdana" w:hAnsi="Verdana"/>
                <w:sz w:val="16"/>
                <w:szCs w:val="16"/>
                <w:lang w:val="lt-LT"/>
              </w:rPr>
              <w:t xml:space="preserve">jos ir </w:t>
            </w:r>
            <w:r w:rsidR="0024213A" w:rsidRPr="008048D3">
              <w:rPr>
                <w:rFonts w:ascii="Verdana" w:hAnsi="Verdana"/>
                <w:sz w:val="16"/>
                <w:szCs w:val="16"/>
                <w:lang w:val="lt-LT"/>
              </w:rPr>
              <w:t>Balti</w:t>
            </w:r>
            <w:r w:rsidR="004F3688" w:rsidRPr="008048D3">
              <w:rPr>
                <w:rFonts w:ascii="Verdana" w:hAnsi="Verdana"/>
                <w:sz w:val="16"/>
                <w:szCs w:val="16"/>
                <w:lang w:val="lt-LT"/>
              </w:rPr>
              <w:t>jos šalys</w:t>
            </w:r>
            <w:r w:rsidR="0024213A" w:rsidRPr="008048D3">
              <w:rPr>
                <w:rFonts w:ascii="Verdana" w:hAnsi="Verdana"/>
                <w:sz w:val="16"/>
                <w:szCs w:val="16"/>
                <w:lang w:val="lt-LT"/>
              </w:rPr>
              <w:t xml:space="preserve">, </w:t>
            </w:r>
            <w:r w:rsidR="004F3688" w:rsidRPr="008048D3">
              <w:rPr>
                <w:rFonts w:ascii="Verdana" w:hAnsi="Verdana"/>
                <w:sz w:val="16"/>
                <w:szCs w:val="16"/>
                <w:lang w:val="lt-LT"/>
              </w:rPr>
              <w:t>Lenkija ir Vokietija</w:t>
            </w:r>
            <w:r w:rsidR="0024213A" w:rsidRPr="008048D3">
              <w:rPr>
                <w:rFonts w:ascii="Verdana" w:hAnsi="Verdana"/>
                <w:sz w:val="16"/>
                <w:szCs w:val="16"/>
                <w:lang w:val="lt-LT"/>
              </w:rPr>
              <w:t xml:space="preserve">. 2017 </w:t>
            </w:r>
            <w:r w:rsidR="004F3688" w:rsidRPr="008048D3">
              <w:rPr>
                <w:rFonts w:ascii="Verdana" w:hAnsi="Verdana"/>
                <w:sz w:val="16"/>
                <w:szCs w:val="16"/>
                <w:lang w:val="lt-LT"/>
              </w:rPr>
              <w:t xml:space="preserve">m. pradėta eksportuoti į </w:t>
            </w:r>
            <w:r w:rsidR="0024213A" w:rsidRPr="008048D3">
              <w:rPr>
                <w:rFonts w:ascii="Verdana" w:hAnsi="Verdana"/>
                <w:sz w:val="16"/>
                <w:szCs w:val="16"/>
                <w:lang w:val="lt-LT"/>
              </w:rPr>
              <w:t>I</w:t>
            </w:r>
            <w:r w:rsidR="004F3688" w:rsidRPr="008048D3">
              <w:rPr>
                <w:rFonts w:ascii="Verdana" w:hAnsi="Verdana"/>
                <w:sz w:val="16"/>
                <w:szCs w:val="16"/>
                <w:lang w:val="lt-LT"/>
              </w:rPr>
              <w:t>z</w:t>
            </w:r>
            <w:r w:rsidR="0024213A" w:rsidRPr="008048D3">
              <w:rPr>
                <w:rFonts w:ascii="Verdana" w:hAnsi="Verdana"/>
                <w:sz w:val="16"/>
                <w:szCs w:val="16"/>
                <w:lang w:val="lt-LT"/>
              </w:rPr>
              <w:t>rael</w:t>
            </w:r>
            <w:r w:rsidR="004F3688" w:rsidRPr="008048D3">
              <w:rPr>
                <w:rFonts w:ascii="Verdana" w:hAnsi="Verdana"/>
                <w:sz w:val="16"/>
                <w:szCs w:val="16"/>
                <w:lang w:val="lt-LT"/>
              </w:rPr>
              <w:t>į</w:t>
            </w:r>
            <w:r w:rsidR="0024213A" w:rsidRPr="008048D3">
              <w:rPr>
                <w:rFonts w:ascii="Verdana" w:hAnsi="Verdana"/>
                <w:sz w:val="16"/>
                <w:szCs w:val="16"/>
                <w:lang w:val="lt-LT"/>
              </w:rPr>
              <w:t xml:space="preserve">, </w:t>
            </w:r>
            <w:r w:rsidR="004F3688" w:rsidRPr="008048D3">
              <w:rPr>
                <w:rFonts w:ascii="Verdana" w:hAnsi="Verdana"/>
                <w:sz w:val="16"/>
                <w:szCs w:val="16"/>
                <w:lang w:val="lt-LT"/>
              </w:rPr>
              <w:t>Jungtinę Karalystę</w:t>
            </w:r>
            <w:r w:rsidR="0024213A" w:rsidRPr="008048D3">
              <w:rPr>
                <w:rFonts w:ascii="Verdana" w:hAnsi="Verdana"/>
                <w:sz w:val="16"/>
                <w:szCs w:val="16"/>
                <w:lang w:val="lt-LT"/>
              </w:rPr>
              <w:t xml:space="preserve">, </w:t>
            </w:r>
            <w:r w:rsidR="004F3688" w:rsidRPr="008048D3">
              <w:rPr>
                <w:rFonts w:ascii="Verdana" w:hAnsi="Verdana"/>
                <w:sz w:val="16"/>
                <w:szCs w:val="16"/>
                <w:lang w:val="lt-LT"/>
              </w:rPr>
              <w:t>Nyderlandus</w:t>
            </w:r>
            <w:r w:rsidR="0024213A" w:rsidRPr="008048D3">
              <w:rPr>
                <w:rFonts w:ascii="Verdana" w:hAnsi="Verdana"/>
                <w:sz w:val="16"/>
                <w:szCs w:val="16"/>
                <w:lang w:val="lt-LT"/>
              </w:rPr>
              <w:t>, Jap</w:t>
            </w:r>
            <w:r w:rsidR="004F3688" w:rsidRPr="008048D3">
              <w:rPr>
                <w:rFonts w:ascii="Verdana" w:hAnsi="Verdana"/>
                <w:sz w:val="16"/>
                <w:szCs w:val="16"/>
                <w:lang w:val="lt-LT"/>
              </w:rPr>
              <w:t>oniją ir Pietų Korėją</w:t>
            </w:r>
            <w:r w:rsidR="0024213A" w:rsidRPr="008048D3">
              <w:rPr>
                <w:rFonts w:ascii="Verdana" w:hAnsi="Verdana"/>
                <w:sz w:val="16"/>
                <w:szCs w:val="16"/>
                <w:lang w:val="lt-LT"/>
              </w:rPr>
              <w:t>.</w:t>
            </w:r>
          </w:p>
        </w:tc>
      </w:tr>
      <w:tr w:rsidR="008F65F5" w:rsidRPr="00CD3453" w14:paraId="59A2B817" w14:textId="77777777" w:rsidTr="00CA53A5">
        <w:tc>
          <w:tcPr>
            <w:tcW w:w="288" w:type="pct"/>
          </w:tcPr>
          <w:p w14:paraId="3DDA5A92"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lastRenderedPageBreak/>
              <w:t>B.4a</w:t>
            </w:r>
          </w:p>
        </w:tc>
        <w:tc>
          <w:tcPr>
            <w:tcW w:w="621" w:type="pct"/>
            <w:gridSpan w:val="2"/>
          </w:tcPr>
          <w:p w14:paraId="7CD16502" w14:textId="65220E32" w:rsidR="008F65F5" w:rsidRPr="008048D3" w:rsidRDefault="004B158D" w:rsidP="008F65F5">
            <w:pPr>
              <w:spacing w:after="40"/>
              <w:rPr>
                <w:rFonts w:ascii="Verdana" w:hAnsi="Verdana" w:cs="Arial"/>
                <w:sz w:val="16"/>
                <w:szCs w:val="16"/>
                <w:lang w:val="lt-LT"/>
              </w:rPr>
            </w:pPr>
            <w:r w:rsidRPr="008048D3">
              <w:rPr>
                <w:rFonts w:ascii="Verdana" w:hAnsi="Verdana" w:cs="Arial"/>
                <w:sz w:val="16"/>
                <w:szCs w:val="16"/>
                <w:lang w:val="lt-LT"/>
              </w:rPr>
              <w:t xml:space="preserve">Svarbiausiosios pastarojo meto tendencijos, turinčios įtakos emitentui ir ūkio šakai </w:t>
            </w:r>
          </w:p>
        </w:tc>
        <w:tc>
          <w:tcPr>
            <w:tcW w:w="4091" w:type="pct"/>
          </w:tcPr>
          <w:p w14:paraId="492CD5C8" w14:textId="5CEF1BE5" w:rsidR="004527F3" w:rsidRPr="008048D3" w:rsidRDefault="007F6AF9" w:rsidP="004527F3">
            <w:pPr>
              <w:jc w:val="both"/>
              <w:rPr>
                <w:rFonts w:ascii="Verdana" w:hAnsi="Verdana" w:cs="Arial"/>
                <w:sz w:val="16"/>
                <w:szCs w:val="16"/>
                <w:lang w:val="lt-LT"/>
              </w:rPr>
            </w:pPr>
            <w:r w:rsidRPr="008048D3">
              <w:rPr>
                <w:rFonts w:ascii="Verdana" w:hAnsi="Verdana" w:cs="Arial"/>
                <w:sz w:val="16"/>
                <w:szCs w:val="16"/>
                <w:lang w:val="lt-LT"/>
              </w:rPr>
              <w:t xml:space="preserve">2017 m. gruodžio 31 d. </w:t>
            </w:r>
            <w:r w:rsidR="004527F3" w:rsidRPr="008048D3">
              <w:rPr>
                <w:rFonts w:ascii="Verdana" w:hAnsi="Verdana" w:cs="Arial"/>
                <w:sz w:val="16"/>
                <w:szCs w:val="16"/>
                <w:lang w:val="lt-LT"/>
              </w:rPr>
              <w:t>Grup</w:t>
            </w:r>
            <w:r w:rsidRPr="008048D3">
              <w:rPr>
                <w:rFonts w:ascii="Verdana" w:hAnsi="Verdana" w:cs="Arial"/>
                <w:sz w:val="16"/>
                <w:szCs w:val="16"/>
                <w:lang w:val="lt-LT"/>
              </w:rPr>
              <w:t xml:space="preserve">ė dirbo apie </w:t>
            </w:r>
            <w:r w:rsidR="004527F3" w:rsidRPr="008048D3">
              <w:rPr>
                <w:rFonts w:ascii="Verdana" w:hAnsi="Verdana" w:cs="Arial"/>
                <w:sz w:val="16"/>
                <w:szCs w:val="16"/>
                <w:lang w:val="lt-LT"/>
              </w:rPr>
              <w:t xml:space="preserve">33 </w:t>
            </w:r>
            <w:r w:rsidR="00EB41A0" w:rsidRPr="008048D3">
              <w:rPr>
                <w:rFonts w:ascii="Verdana" w:hAnsi="Verdana" w:cs="Arial"/>
                <w:sz w:val="16"/>
                <w:szCs w:val="16"/>
                <w:lang w:val="lt-LT"/>
              </w:rPr>
              <w:t>tūkst.</w:t>
            </w:r>
            <w:r w:rsidR="004527F3" w:rsidRPr="008048D3">
              <w:rPr>
                <w:rFonts w:ascii="Verdana" w:hAnsi="Verdana" w:cs="Arial"/>
                <w:sz w:val="16"/>
                <w:szCs w:val="16"/>
                <w:lang w:val="lt-LT"/>
              </w:rPr>
              <w:t xml:space="preserve"> </w:t>
            </w:r>
            <w:r w:rsidRPr="008048D3">
              <w:rPr>
                <w:rFonts w:ascii="Verdana" w:hAnsi="Verdana" w:cs="Arial"/>
                <w:sz w:val="16"/>
                <w:szCs w:val="16"/>
                <w:lang w:val="lt-LT"/>
              </w:rPr>
              <w:t>ha žemės</w:t>
            </w:r>
            <w:r w:rsidR="004527F3" w:rsidRPr="008048D3">
              <w:rPr>
                <w:rFonts w:ascii="Verdana" w:hAnsi="Verdana" w:cs="Arial"/>
                <w:sz w:val="16"/>
                <w:szCs w:val="16"/>
                <w:lang w:val="lt-LT"/>
              </w:rPr>
              <w:t xml:space="preserve">, </w:t>
            </w:r>
            <w:r w:rsidRPr="008048D3">
              <w:rPr>
                <w:rFonts w:ascii="Verdana" w:hAnsi="Verdana" w:cs="Arial"/>
                <w:sz w:val="16"/>
                <w:szCs w:val="16"/>
                <w:lang w:val="lt-LT"/>
              </w:rPr>
              <w:t xml:space="preserve">iš kurių apie </w:t>
            </w:r>
            <w:r w:rsidR="004527F3" w:rsidRPr="008048D3">
              <w:rPr>
                <w:rFonts w:ascii="Verdana" w:hAnsi="Verdana" w:cs="Arial"/>
                <w:sz w:val="16"/>
                <w:szCs w:val="16"/>
                <w:lang w:val="lt-LT"/>
              </w:rPr>
              <w:t xml:space="preserve">6 </w:t>
            </w:r>
            <w:r w:rsidR="00EB41A0" w:rsidRPr="008048D3">
              <w:rPr>
                <w:rFonts w:ascii="Verdana" w:hAnsi="Verdana" w:cs="Arial"/>
                <w:sz w:val="16"/>
                <w:szCs w:val="16"/>
                <w:lang w:val="lt-LT"/>
              </w:rPr>
              <w:t>tūkst.</w:t>
            </w:r>
            <w:r w:rsidR="004527F3" w:rsidRPr="008048D3">
              <w:rPr>
                <w:rFonts w:ascii="Verdana" w:hAnsi="Verdana" w:cs="Arial"/>
                <w:sz w:val="16"/>
                <w:szCs w:val="16"/>
                <w:lang w:val="lt-LT"/>
              </w:rPr>
              <w:t xml:space="preserve"> h</w:t>
            </w:r>
            <w:r w:rsidRPr="008048D3">
              <w:rPr>
                <w:rFonts w:ascii="Verdana" w:hAnsi="Verdana" w:cs="Arial"/>
                <w:sz w:val="16"/>
                <w:szCs w:val="16"/>
                <w:lang w:val="lt-LT"/>
              </w:rPr>
              <w:t xml:space="preserve">a </w:t>
            </w:r>
            <w:r w:rsidR="00212269" w:rsidRPr="008048D3">
              <w:rPr>
                <w:rFonts w:ascii="Verdana" w:hAnsi="Verdana" w:cs="Arial"/>
                <w:sz w:val="16"/>
                <w:szCs w:val="16"/>
                <w:lang w:val="lt-LT"/>
              </w:rPr>
              <w:t>2017</w:t>
            </w:r>
            <w:r w:rsidR="00D6671E" w:rsidRPr="008048D3">
              <w:rPr>
                <w:rFonts w:ascii="Verdana" w:hAnsi="Verdana" w:cs="Arial"/>
                <w:sz w:val="16"/>
                <w:szCs w:val="16"/>
                <w:lang w:val="lt-LT"/>
              </w:rPr>
              <w:t> </w:t>
            </w:r>
            <w:r w:rsidR="00212269" w:rsidRPr="008048D3">
              <w:rPr>
                <w:rFonts w:ascii="Verdana" w:hAnsi="Verdana" w:cs="Arial"/>
                <w:sz w:val="16"/>
                <w:szCs w:val="16"/>
                <w:lang w:val="lt-LT"/>
              </w:rPr>
              <w:t>m. buvo palikta pūdymui</w:t>
            </w:r>
            <w:r w:rsidR="00D6671E" w:rsidRPr="008048D3">
              <w:rPr>
                <w:rFonts w:ascii="Verdana" w:hAnsi="Verdana" w:cs="Arial"/>
                <w:sz w:val="16"/>
                <w:szCs w:val="16"/>
                <w:lang w:val="lt-LT"/>
              </w:rPr>
              <w:t xml:space="preserve"> </w:t>
            </w:r>
            <w:r w:rsidR="00094860" w:rsidRPr="008048D3">
              <w:rPr>
                <w:rFonts w:ascii="Verdana" w:hAnsi="Verdana" w:cs="Arial"/>
                <w:sz w:val="16"/>
                <w:szCs w:val="16"/>
                <w:lang w:val="lt-LT"/>
              </w:rPr>
              <w:t xml:space="preserve">ir </w:t>
            </w:r>
            <w:r w:rsidR="00212269" w:rsidRPr="008048D3">
              <w:rPr>
                <w:rFonts w:ascii="Verdana" w:hAnsi="Verdana" w:cs="Arial"/>
                <w:sz w:val="16"/>
                <w:szCs w:val="16"/>
                <w:lang w:val="lt-LT"/>
              </w:rPr>
              <w:t>bu</w:t>
            </w:r>
            <w:r w:rsidR="00094860" w:rsidRPr="008048D3">
              <w:rPr>
                <w:rFonts w:ascii="Verdana" w:hAnsi="Verdana" w:cs="Arial"/>
                <w:sz w:val="16"/>
                <w:szCs w:val="16"/>
                <w:lang w:val="lt-LT"/>
              </w:rPr>
              <w:t>vo</w:t>
            </w:r>
            <w:r w:rsidR="00212269" w:rsidRPr="008048D3">
              <w:rPr>
                <w:rFonts w:ascii="Verdana" w:hAnsi="Verdana" w:cs="Arial"/>
                <w:sz w:val="16"/>
                <w:szCs w:val="16"/>
                <w:lang w:val="lt-LT"/>
              </w:rPr>
              <w:t xml:space="preserve"> apsėta ir derlius nuimtas </w:t>
            </w:r>
            <w:r w:rsidR="004527F3" w:rsidRPr="008048D3">
              <w:rPr>
                <w:rFonts w:ascii="Verdana" w:hAnsi="Verdana" w:cs="Arial"/>
                <w:sz w:val="16"/>
                <w:szCs w:val="16"/>
                <w:lang w:val="lt-LT"/>
              </w:rPr>
              <w:t>2017</w:t>
            </w:r>
            <w:r w:rsidR="00212269" w:rsidRPr="008048D3">
              <w:rPr>
                <w:rFonts w:ascii="Verdana" w:hAnsi="Verdana" w:cs="Arial"/>
                <w:sz w:val="16"/>
                <w:szCs w:val="16"/>
                <w:lang w:val="lt-LT"/>
              </w:rPr>
              <w:t xml:space="preserve"> – </w:t>
            </w:r>
            <w:r w:rsidR="004527F3" w:rsidRPr="008048D3">
              <w:rPr>
                <w:rFonts w:ascii="Verdana" w:hAnsi="Verdana" w:cs="Arial"/>
                <w:sz w:val="16"/>
                <w:szCs w:val="16"/>
                <w:lang w:val="lt-LT"/>
              </w:rPr>
              <w:t>2018</w:t>
            </w:r>
            <w:r w:rsidR="00212269" w:rsidRPr="008048D3">
              <w:rPr>
                <w:rFonts w:ascii="Verdana" w:hAnsi="Verdana" w:cs="Arial"/>
                <w:sz w:val="16"/>
                <w:szCs w:val="16"/>
                <w:lang w:val="lt-LT"/>
              </w:rPr>
              <w:t xml:space="preserve"> m. sezonu</w:t>
            </w:r>
            <w:r w:rsidR="004527F3" w:rsidRPr="008048D3">
              <w:rPr>
                <w:rFonts w:ascii="Verdana" w:hAnsi="Verdana" w:cs="Arial"/>
                <w:sz w:val="16"/>
                <w:szCs w:val="16"/>
                <w:lang w:val="lt-LT"/>
              </w:rPr>
              <w:t xml:space="preserve">. </w:t>
            </w:r>
            <w:r w:rsidR="00212269" w:rsidRPr="008048D3">
              <w:rPr>
                <w:rFonts w:ascii="Verdana" w:hAnsi="Verdana" w:cs="Arial"/>
                <w:sz w:val="16"/>
                <w:szCs w:val="16"/>
                <w:lang w:val="lt-LT"/>
              </w:rPr>
              <w:t>Be to</w:t>
            </w:r>
            <w:r w:rsidR="004527F3" w:rsidRPr="008048D3">
              <w:rPr>
                <w:rFonts w:ascii="Verdana" w:hAnsi="Verdana" w:cs="Arial"/>
                <w:sz w:val="16"/>
                <w:szCs w:val="16"/>
                <w:lang w:val="lt-LT"/>
              </w:rPr>
              <w:t xml:space="preserve">, </w:t>
            </w:r>
            <w:r w:rsidR="00212269" w:rsidRPr="008048D3">
              <w:rPr>
                <w:rFonts w:ascii="Verdana" w:hAnsi="Verdana" w:cs="Arial"/>
                <w:sz w:val="16"/>
                <w:szCs w:val="16"/>
                <w:lang w:val="lt-LT"/>
              </w:rPr>
              <w:t>2018 m. dirbam</w:t>
            </w:r>
            <w:r w:rsidR="00D6671E" w:rsidRPr="008048D3">
              <w:rPr>
                <w:rFonts w:ascii="Verdana" w:hAnsi="Verdana" w:cs="Arial"/>
                <w:sz w:val="16"/>
                <w:szCs w:val="16"/>
                <w:lang w:val="lt-LT"/>
              </w:rPr>
              <w:t>ą</w:t>
            </w:r>
            <w:r w:rsidR="00212269" w:rsidRPr="008048D3">
              <w:rPr>
                <w:rFonts w:ascii="Verdana" w:hAnsi="Verdana" w:cs="Arial"/>
                <w:sz w:val="16"/>
                <w:szCs w:val="16"/>
                <w:lang w:val="lt-LT"/>
              </w:rPr>
              <w:t xml:space="preserve"> žem</w:t>
            </w:r>
            <w:r w:rsidR="00D6671E" w:rsidRPr="008048D3">
              <w:rPr>
                <w:rFonts w:ascii="Verdana" w:hAnsi="Verdana" w:cs="Arial"/>
                <w:sz w:val="16"/>
                <w:szCs w:val="16"/>
                <w:lang w:val="lt-LT"/>
              </w:rPr>
              <w:t>ę</w:t>
            </w:r>
            <w:r w:rsidR="00212269" w:rsidRPr="008048D3">
              <w:rPr>
                <w:rFonts w:ascii="Verdana" w:hAnsi="Verdana" w:cs="Arial"/>
                <w:sz w:val="16"/>
                <w:szCs w:val="16"/>
                <w:lang w:val="lt-LT"/>
              </w:rPr>
              <w:t xml:space="preserve"> papild</w:t>
            </w:r>
            <w:r w:rsidR="00D6671E" w:rsidRPr="008048D3">
              <w:rPr>
                <w:rFonts w:ascii="Verdana" w:hAnsi="Verdana" w:cs="Arial"/>
                <w:sz w:val="16"/>
                <w:szCs w:val="16"/>
                <w:lang w:val="lt-LT"/>
              </w:rPr>
              <w:t xml:space="preserve">ys </w:t>
            </w:r>
            <w:r w:rsidR="004527F3" w:rsidRPr="008048D3">
              <w:rPr>
                <w:rFonts w:ascii="Verdana" w:hAnsi="Verdana" w:cs="Arial"/>
                <w:sz w:val="16"/>
                <w:szCs w:val="16"/>
                <w:lang w:val="lt-LT"/>
              </w:rPr>
              <w:t>a</w:t>
            </w:r>
            <w:r w:rsidR="00212269" w:rsidRPr="008048D3">
              <w:rPr>
                <w:rFonts w:ascii="Verdana" w:hAnsi="Verdana" w:cs="Arial"/>
                <w:sz w:val="16"/>
                <w:szCs w:val="16"/>
                <w:lang w:val="lt-LT"/>
              </w:rPr>
              <w:t xml:space="preserve">pie </w:t>
            </w:r>
            <w:r w:rsidR="004527F3" w:rsidRPr="008048D3">
              <w:rPr>
                <w:rFonts w:ascii="Verdana" w:hAnsi="Verdana" w:cs="Arial"/>
                <w:sz w:val="16"/>
                <w:szCs w:val="16"/>
                <w:lang w:val="lt-LT"/>
              </w:rPr>
              <w:t>5</w:t>
            </w:r>
            <w:r w:rsidR="00212269" w:rsidRPr="008048D3">
              <w:rPr>
                <w:rFonts w:ascii="Verdana" w:hAnsi="Verdana" w:cs="Arial"/>
                <w:sz w:val="16"/>
                <w:szCs w:val="16"/>
                <w:lang w:val="lt-LT"/>
              </w:rPr>
              <w:t>,</w:t>
            </w:r>
            <w:r w:rsidR="004527F3" w:rsidRPr="008048D3">
              <w:rPr>
                <w:rFonts w:ascii="Verdana" w:hAnsi="Verdana" w:cs="Arial"/>
                <w:sz w:val="16"/>
                <w:szCs w:val="16"/>
                <w:lang w:val="lt-LT"/>
              </w:rPr>
              <w:t xml:space="preserve">2 </w:t>
            </w:r>
            <w:r w:rsidR="00EB41A0" w:rsidRPr="008048D3">
              <w:rPr>
                <w:rFonts w:ascii="Verdana" w:hAnsi="Verdana" w:cs="Arial"/>
                <w:sz w:val="16"/>
                <w:szCs w:val="16"/>
                <w:lang w:val="lt-LT"/>
              </w:rPr>
              <w:t>tūkst.</w:t>
            </w:r>
            <w:r w:rsidR="004527F3" w:rsidRPr="008048D3">
              <w:rPr>
                <w:rFonts w:ascii="Verdana" w:hAnsi="Verdana" w:cs="Arial"/>
                <w:sz w:val="16"/>
                <w:szCs w:val="16"/>
                <w:lang w:val="lt-LT"/>
              </w:rPr>
              <w:t xml:space="preserve"> </w:t>
            </w:r>
            <w:r w:rsidR="00212269" w:rsidRPr="008048D3">
              <w:rPr>
                <w:rFonts w:ascii="Verdana" w:hAnsi="Verdana" w:cs="Arial"/>
                <w:sz w:val="16"/>
                <w:szCs w:val="16"/>
                <w:lang w:val="lt-LT"/>
              </w:rPr>
              <w:t>ha</w:t>
            </w:r>
            <w:r w:rsidR="00D6671E" w:rsidRPr="008048D3">
              <w:rPr>
                <w:rFonts w:ascii="Verdana" w:hAnsi="Verdana" w:cs="Arial"/>
                <w:sz w:val="16"/>
                <w:szCs w:val="16"/>
                <w:lang w:val="lt-LT"/>
              </w:rPr>
              <w:t>, gautų</w:t>
            </w:r>
            <w:r w:rsidR="00212269" w:rsidRPr="008048D3">
              <w:rPr>
                <w:rFonts w:ascii="Verdana" w:hAnsi="Verdana" w:cs="Arial"/>
                <w:sz w:val="16"/>
                <w:szCs w:val="16"/>
                <w:lang w:val="lt-LT"/>
              </w:rPr>
              <w:t xml:space="preserve"> įsigijus </w:t>
            </w:r>
            <w:r w:rsidR="004527F3" w:rsidRPr="008048D3">
              <w:rPr>
                <w:rFonts w:ascii="Verdana" w:hAnsi="Verdana" w:cs="Arial"/>
                <w:sz w:val="16"/>
                <w:szCs w:val="16"/>
                <w:lang w:val="lt-LT"/>
              </w:rPr>
              <w:t xml:space="preserve">UAB </w:t>
            </w:r>
            <w:r w:rsidR="00212269" w:rsidRPr="008048D3">
              <w:rPr>
                <w:rFonts w:ascii="Verdana" w:hAnsi="Verdana" w:cs="Arial"/>
                <w:sz w:val="16"/>
                <w:szCs w:val="16"/>
                <w:lang w:val="lt-LT"/>
              </w:rPr>
              <w:t>„</w:t>
            </w:r>
            <w:r w:rsidR="004527F3" w:rsidRPr="008048D3">
              <w:rPr>
                <w:rFonts w:ascii="Verdana" w:hAnsi="Verdana" w:cs="Arial"/>
                <w:sz w:val="16"/>
                <w:szCs w:val="16"/>
                <w:lang w:val="lt-LT"/>
              </w:rPr>
              <w:t>Raseini</w:t>
            </w:r>
            <w:r w:rsidR="00D34408" w:rsidRPr="008048D3">
              <w:rPr>
                <w:rFonts w:ascii="Verdana" w:hAnsi="Verdana" w:cs="Arial"/>
                <w:sz w:val="16"/>
                <w:szCs w:val="16"/>
                <w:lang w:val="lt-LT"/>
              </w:rPr>
              <w:t>ų</w:t>
            </w:r>
            <w:r w:rsidR="004527F3" w:rsidRPr="008048D3">
              <w:rPr>
                <w:rFonts w:ascii="Verdana" w:hAnsi="Verdana" w:cs="Arial"/>
                <w:sz w:val="16"/>
                <w:szCs w:val="16"/>
                <w:lang w:val="lt-LT"/>
              </w:rPr>
              <w:t xml:space="preserve"> </w:t>
            </w:r>
            <w:proofErr w:type="spellStart"/>
            <w:r w:rsidR="004527F3" w:rsidRPr="008048D3">
              <w:rPr>
                <w:rFonts w:ascii="Verdana" w:hAnsi="Verdana" w:cs="Arial"/>
                <w:sz w:val="16"/>
                <w:szCs w:val="16"/>
                <w:lang w:val="lt-LT"/>
              </w:rPr>
              <w:t>agra</w:t>
            </w:r>
            <w:proofErr w:type="spellEnd"/>
            <w:r w:rsidR="00212269" w:rsidRPr="008048D3">
              <w:rPr>
                <w:rFonts w:ascii="Verdana" w:hAnsi="Verdana" w:cs="Arial"/>
                <w:sz w:val="16"/>
                <w:szCs w:val="16"/>
                <w:lang w:val="lt-LT"/>
              </w:rPr>
              <w:t>“</w:t>
            </w:r>
            <w:r w:rsidR="004527F3" w:rsidRPr="008048D3">
              <w:rPr>
                <w:rFonts w:ascii="Verdana" w:hAnsi="Verdana" w:cs="Arial"/>
                <w:sz w:val="16"/>
                <w:szCs w:val="16"/>
                <w:lang w:val="lt-LT"/>
              </w:rPr>
              <w:t xml:space="preserve">. </w:t>
            </w:r>
            <w:r w:rsidR="00212269" w:rsidRPr="008048D3">
              <w:rPr>
                <w:rFonts w:ascii="Verdana" w:hAnsi="Verdana" w:cs="Arial"/>
                <w:sz w:val="16"/>
                <w:szCs w:val="16"/>
                <w:lang w:val="lt-LT"/>
              </w:rPr>
              <w:t xml:space="preserve">Dėl to bendras pasėlių plotas padidės apie </w:t>
            </w:r>
            <w:r w:rsidR="004527F3" w:rsidRPr="008048D3">
              <w:rPr>
                <w:rFonts w:ascii="Verdana" w:hAnsi="Verdana" w:cs="Arial"/>
                <w:sz w:val="16"/>
                <w:szCs w:val="16"/>
                <w:lang w:val="lt-LT"/>
              </w:rPr>
              <w:t xml:space="preserve">11 </w:t>
            </w:r>
            <w:r w:rsidR="00EB41A0" w:rsidRPr="008048D3">
              <w:rPr>
                <w:rFonts w:ascii="Verdana" w:hAnsi="Verdana" w:cs="Arial"/>
                <w:sz w:val="16"/>
                <w:szCs w:val="16"/>
                <w:lang w:val="lt-LT"/>
              </w:rPr>
              <w:t>tūkst.</w:t>
            </w:r>
            <w:r w:rsidR="004527F3" w:rsidRPr="008048D3">
              <w:rPr>
                <w:rFonts w:ascii="Verdana" w:hAnsi="Verdana" w:cs="Arial"/>
                <w:sz w:val="16"/>
                <w:szCs w:val="16"/>
                <w:lang w:val="lt-LT"/>
              </w:rPr>
              <w:t xml:space="preserve"> h</w:t>
            </w:r>
            <w:r w:rsidR="00212269" w:rsidRPr="008048D3">
              <w:rPr>
                <w:rFonts w:ascii="Verdana" w:hAnsi="Verdana" w:cs="Arial"/>
                <w:sz w:val="16"/>
                <w:szCs w:val="16"/>
                <w:lang w:val="lt-LT"/>
              </w:rPr>
              <w:t xml:space="preserve">a nuo maždaug </w:t>
            </w:r>
            <w:r w:rsidR="004527F3" w:rsidRPr="008048D3">
              <w:rPr>
                <w:rFonts w:ascii="Verdana" w:hAnsi="Verdana" w:cs="Arial"/>
                <w:sz w:val="16"/>
                <w:szCs w:val="16"/>
                <w:lang w:val="lt-LT"/>
              </w:rPr>
              <w:t xml:space="preserve">27 </w:t>
            </w:r>
            <w:r w:rsidR="00EB41A0" w:rsidRPr="008048D3">
              <w:rPr>
                <w:rFonts w:ascii="Verdana" w:hAnsi="Verdana" w:cs="Arial"/>
                <w:sz w:val="16"/>
                <w:szCs w:val="16"/>
                <w:lang w:val="lt-LT"/>
              </w:rPr>
              <w:t>tūkst.</w:t>
            </w:r>
            <w:r w:rsidR="004527F3" w:rsidRPr="008048D3">
              <w:rPr>
                <w:rFonts w:ascii="Verdana" w:hAnsi="Verdana" w:cs="Arial"/>
                <w:sz w:val="16"/>
                <w:szCs w:val="16"/>
                <w:lang w:val="lt-LT"/>
              </w:rPr>
              <w:t xml:space="preserve"> h</w:t>
            </w:r>
            <w:r w:rsidR="00212269" w:rsidRPr="008048D3">
              <w:rPr>
                <w:rFonts w:ascii="Verdana" w:hAnsi="Verdana" w:cs="Arial"/>
                <w:sz w:val="16"/>
                <w:szCs w:val="16"/>
                <w:lang w:val="lt-LT"/>
              </w:rPr>
              <w:t xml:space="preserve">a </w:t>
            </w:r>
            <w:r w:rsidR="004527F3" w:rsidRPr="008048D3">
              <w:rPr>
                <w:rFonts w:ascii="Verdana" w:hAnsi="Verdana" w:cs="Arial"/>
                <w:sz w:val="16"/>
                <w:szCs w:val="16"/>
                <w:lang w:val="lt-LT"/>
              </w:rPr>
              <w:t xml:space="preserve">2017 </w:t>
            </w:r>
            <w:r w:rsidR="00212269" w:rsidRPr="008048D3">
              <w:rPr>
                <w:rFonts w:ascii="Verdana" w:hAnsi="Verdana" w:cs="Arial"/>
                <w:sz w:val="16"/>
                <w:szCs w:val="16"/>
                <w:lang w:val="lt-LT"/>
              </w:rPr>
              <w:t xml:space="preserve">m. iki </w:t>
            </w:r>
            <w:r w:rsidR="004527F3" w:rsidRPr="008048D3">
              <w:rPr>
                <w:rFonts w:ascii="Verdana" w:hAnsi="Verdana" w:cs="Arial"/>
                <w:sz w:val="16"/>
                <w:szCs w:val="16"/>
                <w:lang w:val="lt-LT"/>
              </w:rPr>
              <w:t xml:space="preserve">38 </w:t>
            </w:r>
            <w:r w:rsidR="00EB41A0" w:rsidRPr="008048D3">
              <w:rPr>
                <w:rFonts w:ascii="Verdana" w:hAnsi="Verdana" w:cs="Arial"/>
                <w:sz w:val="16"/>
                <w:szCs w:val="16"/>
                <w:lang w:val="lt-LT"/>
              </w:rPr>
              <w:t>tūkst.</w:t>
            </w:r>
            <w:r w:rsidR="004527F3" w:rsidRPr="008048D3">
              <w:rPr>
                <w:rFonts w:ascii="Verdana" w:hAnsi="Verdana" w:cs="Arial"/>
                <w:sz w:val="16"/>
                <w:szCs w:val="16"/>
                <w:lang w:val="lt-LT"/>
              </w:rPr>
              <w:t xml:space="preserve"> h</w:t>
            </w:r>
            <w:r w:rsidR="00212269" w:rsidRPr="008048D3">
              <w:rPr>
                <w:rFonts w:ascii="Verdana" w:hAnsi="Verdana" w:cs="Arial"/>
                <w:sz w:val="16"/>
                <w:szCs w:val="16"/>
                <w:lang w:val="lt-LT"/>
              </w:rPr>
              <w:t xml:space="preserve">a </w:t>
            </w:r>
            <w:r w:rsidR="004527F3" w:rsidRPr="008048D3">
              <w:rPr>
                <w:rFonts w:ascii="Verdana" w:hAnsi="Verdana" w:cs="Arial"/>
                <w:sz w:val="16"/>
                <w:szCs w:val="16"/>
                <w:lang w:val="lt-LT"/>
              </w:rPr>
              <w:t>2018</w:t>
            </w:r>
            <w:r w:rsidR="00212269" w:rsidRPr="008048D3">
              <w:rPr>
                <w:rFonts w:ascii="Verdana" w:hAnsi="Verdana" w:cs="Arial"/>
                <w:sz w:val="16"/>
                <w:szCs w:val="16"/>
                <w:lang w:val="lt-LT"/>
              </w:rPr>
              <w:t xml:space="preserve"> m</w:t>
            </w:r>
            <w:r w:rsidR="004527F3" w:rsidRPr="008048D3">
              <w:rPr>
                <w:rFonts w:ascii="Verdana" w:hAnsi="Verdana" w:cs="Arial"/>
                <w:sz w:val="16"/>
                <w:szCs w:val="16"/>
                <w:lang w:val="lt-LT"/>
              </w:rPr>
              <w:t xml:space="preserve">. </w:t>
            </w:r>
            <w:r w:rsidR="00212269" w:rsidRPr="008048D3">
              <w:rPr>
                <w:rFonts w:ascii="Verdana" w:hAnsi="Verdana" w:cs="Arial"/>
                <w:sz w:val="16"/>
                <w:szCs w:val="16"/>
                <w:lang w:val="lt-LT"/>
              </w:rPr>
              <w:t>Šiuo metu vienas pagrindinių Grupės tikslų yra sėkmingai užbaigti dirbamų žemės plotų plėtrą ir pradėti tokios žemės naudojimą ekologiniam ūkininkavimui</w:t>
            </w:r>
            <w:r w:rsidR="004527F3" w:rsidRPr="008048D3">
              <w:rPr>
                <w:rFonts w:ascii="Verdana" w:hAnsi="Verdana" w:cs="Arial"/>
                <w:sz w:val="16"/>
                <w:szCs w:val="16"/>
                <w:lang w:val="lt-LT"/>
              </w:rPr>
              <w:t xml:space="preserve">. </w:t>
            </w:r>
          </w:p>
          <w:p w14:paraId="5812287B" w14:textId="77777777" w:rsidR="004527F3" w:rsidRPr="008048D3" w:rsidRDefault="004527F3" w:rsidP="004527F3">
            <w:pPr>
              <w:jc w:val="both"/>
              <w:rPr>
                <w:rFonts w:ascii="Verdana" w:hAnsi="Verdana" w:cs="Arial"/>
                <w:sz w:val="16"/>
                <w:szCs w:val="16"/>
                <w:lang w:val="lt-LT"/>
              </w:rPr>
            </w:pPr>
          </w:p>
          <w:p w14:paraId="4BA7D3D2" w14:textId="2E6D8532" w:rsidR="004527F3" w:rsidRPr="008048D3" w:rsidRDefault="00816327" w:rsidP="004527F3">
            <w:pPr>
              <w:jc w:val="both"/>
              <w:rPr>
                <w:rFonts w:ascii="Verdana" w:hAnsi="Verdana" w:cs="Arial"/>
                <w:sz w:val="16"/>
                <w:szCs w:val="16"/>
                <w:lang w:val="lt-LT"/>
              </w:rPr>
            </w:pPr>
            <w:r w:rsidRPr="008048D3">
              <w:rPr>
                <w:rFonts w:ascii="Verdana" w:hAnsi="Verdana" w:cs="Arial"/>
                <w:sz w:val="16"/>
                <w:szCs w:val="16"/>
                <w:lang w:val="lt-LT"/>
              </w:rPr>
              <w:t>Nepaisant dirbamos žemės plotų padidėjimo</w:t>
            </w:r>
            <w:r w:rsidR="004527F3" w:rsidRPr="008048D3">
              <w:rPr>
                <w:rFonts w:ascii="Verdana" w:hAnsi="Verdana" w:cs="Arial"/>
                <w:sz w:val="16"/>
                <w:szCs w:val="16"/>
                <w:lang w:val="lt-LT"/>
              </w:rPr>
              <w:t xml:space="preserve">, </w:t>
            </w:r>
            <w:r w:rsidRPr="008048D3">
              <w:rPr>
                <w:rFonts w:ascii="Verdana" w:hAnsi="Verdana" w:cs="Arial"/>
                <w:sz w:val="16"/>
                <w:szCs w:val="16"/>
                <w:lang w:val="lt-LT"/>
              </w:rPr>
              <w:t>tikimasi, kad bendra subsidijų ekologiniam ūkininkavimui suma išliks da</w:t>
            </w:r>
            <w:r w:rsidR="00D6671E" w:rsidRPr="008048D3">
              <w:rPr>
                <w:rFonts w:ascii="Verdana" w:hAnsi="Verdana" w:cs="Arial"/>
                <w:sz w:val="16"/>
                <w:szCs w:val="16"/>
                <w:lang w:val="lt-LT"/>
              </w:rPr>
              <w:t>u</w:t>
            </w:r>
            <w:r w:rsidRPr="008048D3">
              <w:rPr>
                <w:rFonts w:ascii="Verdana" w:hAnsi="Verdana" w:cs="Arial"/>
                <w:sz w:val="16"/>
                <w:szCs w:val="16"/>
                <w:lang w:val="lt-LT"/>
              </w:rPr>
              <w:t>giau mažiau tame pačiame lygyje</w:t>
            </w:r>
            <w:r w:rsidR="004527F3" w:rsidRPr="008048D3">
              <w:rPr>
                <w:rFonts w:ascii="Verdana" w:hAnsi="Verdana" w:cs="Arial"/>
                <w:sz w:val="16"/>
                <w:szCs w:val="16"/>
                <w:lang w:val="lt-LT"/>
              </w:rPr>
              <w:t xml:space="preserve">. </w:t>
            </w:r>
            <w:r w:rsidRPr="008048D3">
              <w:rPr>
                <w:rFonts w:ascii="Verdana" w:hAnsi="Verdana" w:cs="Arial"/>
                <w:sz w:val="16"/>
                <w:szCs w:val="16"/>
                <w:lang w:val="lt-LT"/>
              </w:rPr>
              <w:t>Nepaisant perėjimo prie ekologinio ūkininkavimo</w:t>
            </w:r>
            <w:r w:rsidR="004527F3" w:rsidRPr="008048D3">
              <w:rPr>
                <w:rFonts w:ascii="Verdana" w:hAnsi="Verdana" w:cs="Arial"/>
                <w:sz w:val="16"/>
                <w:szCs w:val="16"/>
                <w:lang w:val="lt-LT"/>
              </w:rPr>
              <w:t xml:space="preserve">, UAB </w:t>
            </w:r>
            <w:r w:rsidR="00454F84" w:rsidRPr="008048D3">
              <w:rPr>
                <w:rFonts w:ascii="Verdana" w:hAnsi="Verdana" w:cs="Arial"/>
                <w:sz w:val="16"/>
                <w:szCs w:val="16"/>
                <w:lang w:val="lt-LT"/>
              </w:rPr>
              <w:t>„</w:t>
            </w:r>
            <w:r w:rsidR="004527F3" w:rsidRPr="008048D3">
              <w:rPr>
                <w:rFonts w:ascii="Verdana" w:hAnsi="Verdana" w:cs="Arial"/>
                <w:sz w:val="16"/>
                <w:szCs w:val="16"/>
                <w:lang w:val="lt-LT"/>
              </w:rPr>
              <w:t>Raseini</w:t>
            </w:r>
            <w:r w:rsidR="00B52E16" w:rsidRPr="008048D3">
              <w:rPr>
                <w:rFonts w:ascii="Verdana" w:hAnsi="Verdana" w:cs="Arial"/>
                <w:sz w:val="16"/>
                <w:szCs w:val="16"/>
                <w:lang w:val="lt-LT"/>
              </w:rPr>
              <w:t>ų</w:t>
            </w:r>
            <w:r w:rsidR="004527F3" w:rsidRPr="008048D3">
              <w:rPr>
                <w:rFonts w:ascii="Verdana" w:hAnsi="Verdana" w:cs="Arial"/>
                <w:sz w:val="16"/>
                <w:szCs w:val="16"/>
                <w:lang w:val="lt-LT"/>
              </w:rPr>
              <w:t xml:space="preserve"> </w:t>
            </w:r>
            <w:proofErr w:type="spellStart"/>
            <w:r w:rsidR="004527F3" w:rsidRPr="008048D3">
              <w:rPr>
                <w:rFonts w:ascii="Verdana" w:hAnsi="Verdana" w:cs="Arial"/>
                <w:sz w:val="16"/>
                <w:szCs w:val="16"/>
                <w:lang w:val="lt-LT"/>
              </w:rPr>
              <w:t>agra</w:t>
            </w:r>
            <w:proofErr w:type="spellEnd"/>
            <w:r w:rsidR="00454F84" w:rsidRPr="008048D3">
              <w:rPr>
                <w:rFonts w:ascii="Verdana" w:hAnsi="Verdana" w:cs="Arial"/>
                <w:sz w:val="16"/>
                <w:szCs w:val="16"/>
                <w:lang w:val="lt-LT"/>
              </w:rPr>
              <w:t>“</w:t>
            </w:r>
            <w:r w:rsidR="004527F3" w:rsidRPr="008048D3">
              <w:rPr>
                <w:rFonts w:ascii="Verdana" w:hAnsi="Verdana" w:cs="Arial"/>
                <w:sz w:val="16"/>
                <w:szCs w:val="16"/>
                <w:lang w:val="lt-LT"/>
              </w:rPr>
              <w:t xml:space="preserve"> </w:t>
            </w:r>
            <w:r w:rsidR="00454F84" w:rsidRPr="008048D3">
              <w:rPr>
                <w:rFonts w:ascii="Verdana" w:hAnsi="Verdana" w:cs="Arial"/>
                <w:sz w:val="16"/>
                <w:szCs w:val="16"/>
                <w:lang w:val="lt-LT"/>
              </w:rPr>
              <w:t>negaus ekologini</w:t>
            </w:r>
            <w:r w:rsidR="00D6671E" w:rsidRPr="008048D3">
              <w:rPr>
                <w:rFonts w:ascii="Verdana" w:hAnsi="Verdana" w:cs="Arial"/>
                <w:sz w:val="16"/>
                <w:szCs w:val="16"/>
                <w:lang w:val="lt-LT"/>
              </w:rPr>
              <w:t>am</w:t>
            </w:r>
            <w:r w:rsidR="00454F84" w:rsidRPr="008048D3">
              <w:rPr>
                <w:rFonts w:ascii="Verdana" w:hAnsi="Verdana" w:cs="Arial"/>
                <w:sz w:val="16"/>
                <w:szCs w:val="16"/>
                <w:lang w:val="lt-LT"/>
              </w:rPr>
              <w:t xml:space="preserve"> ūkininkavim</w:t>
            </w:r>
            <w:r w:rsidR="00D6671E" w:rsidRPr="008048D3">
              <w:rPr>
                <w:rFonts w:ascii="Verdana" w:hAnsi="Verdana" w:cs="Arial"/>
                <w:sz w:val="16"/>
                <w:szCs w:val="16"/>
                <w:lang w:val="lt-LT"/>
              </w:rPr>
              <w:t>ui skirtų</w:t>
            </w:r>
            <w:r w:rsidR="00454F84" w:rsidRPr="008048D3">
              <w:rPr>
                <w:rFonts w:ascii="Verdana" w:hAnsi="Verdana" w:cs="Arial"/>
                <w:sz w:val="16"/>
                <w:szCs w:val="16"/>
                <w:lang w:val="lt-LT"/>
              </w:rPr>
              <w:t xml:space="preserve"> subsidijų, nes visi </w:t>
            </w:r>
            <w:r w:rsidR="00A479B2" w:rsidRPr="008048D3">
              <w:rPr>
                <w:rFonts w:ascii="Verdana" w:hAnsi="Verdana" w:cs="Arial"/>
                <w:sz w:val="16"/>
                <w:szCs w:val="16"/>
                <w:lang w:val="lt-LT"/>
              </w:rPr>
              <w:t xml:space="preserve">Lietuvos kaimo plėtros </w:t>
            </w:r>
            <w:r w:rsidR="00454F84" w:rsidRPr="008048D3">
              <w:rPr>
                <w:rFonts w:ascii="Verdana" w:hAnsi="Verdana" w:cs="Arial"/>
                <w:sz w:val="16"/>
                <w:szCs w:val="16"/>
                <w:lang w:val="lt-LT"/>
              </w:rPr>
              <w:t>2014</w:t>
            </w:r>
            <w:r w:rsidR="00D6671E" w:rsidRPr="008048D3">
              <w:rPr>
                <w:rFonts w:ascii="Verdana" w:hAnsi="Verdana" w:cs="Arial"/>
                <w:sz w:val="16"/>
                <w:szCs w:val="16"/>
                <w:lang w:val="lt-LT"/>
              </w:rPr>
              <w:t>–</w:t>
            </w:r>
            <w:r w:rsidR="00454F84" w:rsidRPr="008048D3">
              <w:rPr>
                <w:rFonts w:ascii="Verdana" w:hAnsi="Verdana" w:cs="Arial"/>
                <w:sz w:val="16"/>
                <w:szCs w:val="16"/>
                <w:lang w:val="lt-LT"/>
              </w:rPr>
              <w:t xml:space="preserve">2020 m. </w:t>
            </w:r>
            <w:r w:rsidR="00A479B2" w:rsidRPr="008048D3">
              <w:rPr>
                <w:rFonts w:ascii="Verdana" w:hAnsi="Verdana" w:cs="Arial"/>
                <w:sz w:val="16"/>
                <w:szCs w:val="16"/>
                <w:lang w:val="lt-LT"/>
              </w:rPr>
              <w:t xml:space="preserve">programos priemonės </w:t>
            </w:r>
            <w:r w:rsidR="00454F84" w:rsidRPr="008048D3">
              <w:rPr>
                <w:rFonts w:ascii="Verdana" w:hAnsi="Verdana" w:cs="Arial"/>
                <w:sz w:val="16"/>
                <w:szCs w:val="16"/>
                <w:lang w:val="lt-LT"/>
              </w:rPr>
              <w:t xml:space="preserve">„Ekologinis </w:t>
            </w:r>
            <w:r w:rsidR="00A479B2" w:rsidRPr="008048D3">
              <w:rPr>
                <w:rFonts w:ascii="Verdana" w:hAnsi="Verdana" w:cs="Arial"/>
                <w:sz w:val="16"/>
                <w:szCs w:val="16"/>
                <w:lang w:val="lt-LT"/>
              </w:rPr>
              <w:t>ūkininkavimas</w:t>
            </w:r>
            <w:r w:rsidR="00454F84" w:rsidRPr="008048D3">
              <w:rPr>
                <w:rFonts w:ascii="Verdana" w:hAnsi="Verdana" w:cs="Arial"/>
                <w:sz w:val="16"/>
                <w:szCs w:val="16"/>
                <w:lang w:val="lt-LT"/>
              </w:rPr>
              <w:t>“ ištekliai jau yra paskirstyti</w:t>
            </w:r>
            <w:r w:rsidR="004527F3" w:rsidRPr="008048D3">
              <w:rPr>
                <w:rFonts w:ascii="Verdana" w:hAnsi="Verdana" w:cs="Arial"/>
                <w:sz w:val="16"/>
                <w:szCs w:val="16"/>
                <w:lang w:val="lt-LT"/>
              </w:rPr>
              <w:t xml:space="preserve">. </w:t>
            </w:r>
            <w:r w:rsidR="00B52E16" w:rsidRPr="008048D3">
              <w:rPr>
                <w:rFonts w:ascii="Verdana" w:hAnsi="Verdana" w:cs="Arial"/>
                <w:sz w:val="16"/>
                <w:szCs w:val="16"/>
                <w:lang w:val="lt-LT"/>
              </w:rPr>
              <w:t xml:space="preserve">UAB „Raseinių </w:t>
            </w:r>
            <w:proofErr w:type="spellStart"/>
            <w:r w:rsidR="00B52E16" w:rsidRPr="008048D3">
              <w:rPr>
                <w:rFonts w:ascii="Verdana" w:hAnsi="Verdana" w:cs="Arial"/>
                <w:sz w:val="16"/>
                <w:szCs w:val="16"/>
                <w:lang w:val="lt-LT"/>
              </w:rPr>
              <w:t>agra</w:t>
            </w:r>
            <w:proofErr w:type="spellEnd"/>
            <w:r w:rsidR="00B52E16" w:rsidRPr="008048D3">
              <w:rPr>
                <w:rFonts w:ascii="Verdana" w:hAnsi="Verdana" w:cs="Arial"/>
                <w:sz w:val="16"/>
                <w:szCs w:val="16"/>
                <w:lang w:val="lt-LT"/>
              </w:rPr>
              <w:t>“ pradėjo perėjimą prie ekologinio žemės ūkio 2017 metais ir t</w:t>
            </w:r>
            <w:r w:rsidR="00454F84" w:rsidRPr="008048D3">
              <w:rPr>
                <w:rFonts w:ascii="Verdana" w:hAnsi="Verdana" w:cs="Arial"/>
                <w:sz w:val="16"/>
                <w:szCs w:val="16"/>
                <w:lang w:val="lt-LT"/>
              </w:rPr>
              <w:t xml:space="preserve">ikimasi, kad </w:t>
            </w:r>
            <w:r w:rsidR="00B52E16" w:rsidRPr="008048D3">
              <w:rPr>
                <w:rFonts w:ascii="Verdana" w:hAnsi="Verdana" w:cs="Arial"/>
                <w:sz w:val="16"/>
                <w:szCs w:val="16"/>
                <w:lang w:val="lt-LT"/>
              </w:rPr>
              <w:t xml:space="preserve">jos </w:t>
            </w:r>
            <w:r w:rsidR="004527F3" w:rsidRPr="008048D3">
              <w:rPr>
                <w:rFonts w:ascii="Verdana" w:hAnsi="Verdana" w:cs="Arial"/>
                <w:sz w:val="16"/>
                <w:szCs w:val="16"/>
                <w:lang w:val="lt-LT"/>
              </w:rPr>
              <w:t>produ</w:t>
            </w:r>
            <w:r w:rsidR="00454F84" w:rsidRPr="008048D3">
              <w:rPr>
                <w:rFonts w:ascii="Verdana" w:hAnsi="Verdana" w:cs="Arial"/>
                <w:sz w:val="16"/>
                <w:szCs w:val="16"/>
                <w:lang w:val="lt-LT"/>
              </w:rPr>
              <w:t>k</w:t>
            </w:r>
            <w:r w:rsidR="004527F3" w:rsidRPr="008048D3">
              <w:rPr>
                <w:rFonts w:ascii="Verdana" w:hAnsi="Verdana" w:cs="Arial"/>
                <w:sz w:val="16"/>
                <w:szCs w:val="16"/>
                <w:lang w:val="lt-LT"/>
              </w:rPr>
              <w:t>c</w:t>
            </w:r>
            <w:r w:rsidR="00454F84" w:rsidRPr="008048D3">
              <w:rPr>
                <w:rFonts w:ascii="Verdana" w:hAnsi="Verdana" w:cs="Arial"/>
                <w:sz w:val="16"/>
                <w:szCs w:val="16"/>
                <w:lang w:val="lt-LT"/>
              </w:rPr>
              <w:t>ija bus sertifikuoja kaip 100</w:t>
            </w:r>
            <w:r w:rsidR="00B52E16" w:rsidRPr="008048D3">
              <w:rPr>
                <w:rFonts w:ascii="Verdana" w:hAnsi="Verdana" w:cs="Arial"/>
                <w:sz w:val="16"/>
                <w:szCs w:val="16"/>
                <w:lang w:val="lt-LT"/>
              </w:rPr>
              <w:t> </w:t>
            </w:r>
            <w:r w:rsidR="00454F84" w:rsidRPr="008048D3">
              <w:rPr>
                <w:rFonts w:ascii="Verdana" w:hAnsi="Verdana" w:cs="Arial"/>
                <w:sz w:val="16"/>
                <w:szCs w:val="16"/>
                <w:lang w:val="lt-LT"/>
              </w:rPr>
              <w:t xml:space="preserve">% ekologiška </w:t>
            </w:r>
            <w:r w:rsidR="004527F3" w:rsidRPr="008048D3">
              <w:rPr>
                <w:rFonts w:ascii="Verdana" w:hAnsi="Verdana" w:cs="Arial"/>
                <w:sz w:val="16"/>
                <w:szCs w:val="16"/>
                <w:lang w:val="lt-LT"/>
              </w:rPr>
              <w:t>2019</w:t>
            </w:r>
            <w:r w:rsidR="00454F84" w:rsidRPr="008048D3">
              <w:rPr>
                <w:rFonts w:ascii="Verdana" w:hAnsi="Verdana" w:cs="Arial"/>
                <w:sz w:val="16"/>
                <w:szCs w:val="16"/>
                <w:lang w:val="lt-LT"/>
              </w:rPr>
              <w:t xml:space="preserve"> m</w:t>
            </w:r>
            <w:r w:rsidR="004527F3" w:rsidRPr="008048D3">
              <w:rPr>
                <w:rFonts w:ascii="Verdana" w:hAnsi="Verdana" w:cs="Arial"/>
                <w:sz w:val="16"/>
                <w:szCs w:val="16"/>
                <w:lang w:val="lt-LT"/>
              </w:rPr>
              <w:t>.</w:t>
            </w:r>
          </w:p>
          <w:p w14:paraId="0075F0AA" w14:textId="77777777" w:rsidR="004527F3" w:rsidRPr="008048D3" w:rsidRDefault="004527F3" w:rsidP="004527F3">
            <w:pPr>
              <w:jc w:val="both"/>
              <w:rPr>
                <w:rFonts w:ascii="Verdana" w:hAnsi="Verdana" w:cs="Arial"/>
                <w:sz w:val="16"/>
                <w:szCs w:val="16"/>
                <w:lang w:val="lt-LT"/>
              </w:rPr>
            </w:pPr>
          </w:p>
          <w:p w14:paraId="479E6746" w14:textId="0FDE5E3E" w:rsidR="004527F3" w:rsidRPr="008048D3" w:rsidRDefault="00454F84" w:rsidP="004527F3">
            <w:pPr>
              <w:jc w:val="both"/>
              <w:rPr>
                <w:rFonts w:ascii="Verdana" w:hAnsi="Verdana" w:cs="Arial"/>
                <w:sz w:val="16"/>
                <w:szCs w:val="16"/>
                <w:lang w:val="lt-LT"/>
              </w:rPr>
            </w:pPr>
            <w:r w:rsidRPr="008048D3">
              <w:rPr>
                <w:rFonts w:ascii="Verdana" w:hAnsi="Verdana" w:cs="Arial"/>
                <w:sz w:val="16"/>
                <w:szCs w:val="16"/>
                <w:lang w:val="lt-LT"/>
              </w:rPr>
              <w:t>T</w:t>
            </w:r>
            <w:r w:rsidR="00D6671E" w:rsidRPr="008048D3">
              <w:rPr>
                <w:rFonts w:ascii="Verdana" w:hAnsi="Verdana" w:cs="Arial"/>
                <w:sz w:val="16"/>
                <w:szCs w:val="16"/>
                <w:lang w:val="lt-LT"/>
              </w:rPr>
              <w:t xml:space="preserve">inkami </w:t>
            </w:r>
            <w:r w:rsidR="00A479B2" w:rsidRPr="008048D3">
              <w:rPr>
                <w:rFonts w:ascii="Verdana" w:hAnsi="Verdana" w:cs="Arial"/>
                <w:sz w:val="16"/>
                <w:szCs w:val="16"/>
                <w:lang w:val="lt-LT"/>
              </w:rPr>
              <w:t xml:space="preserve">ir tinkamu laiku atlikti </w:t>
            </w:r>
            <w:r w:rsidRPr="008048D3">
              <w:rPr>
                <w:rFonts w:ascii="Verdana" w:hAnsi="Verdana" w:cs="Arial"/>
                <w:sz w:val="16"/>
                <w:szCs w:val="16"/>
                <w:lang w:val="lt-LT"/>
              </w:rPr>
              <w:t xml:space="preserve">darbai laukuose reikiamu metu yra ypatingai svarbūs norimiems rezultatams pasiekti. Todėl </w:t>
            </w:r>
            <w:r w:rsidR="004527F3" w:rsidRPr="008048D3">
              <w:rPr>
                <w:rFonts w:ascii="Verdana" w:hAnsi="Verdana" w:cs="Arial"/>
                <w:sz w:val="16"/>
                <w:szCs w:val="16"/>
                <w:lang w:val="lt-LT"/>
              </w:rPr>
              <w:t>Grup</w:t>
            </w:r>
            <w:r w:rsidRPr="008048D3">
              <w:rPr>
                <w:rFonts w:ascii="Verdana" w:hAnsi="Verdana" w:cs="Arial"/>
                <w:sz w:val="16"/>
                <w:szCs w:val="16"/>
                <w:lang w:val="lt-LT"/>
              </w:rPr>
              <w:t xml:space="preserve">ė </w:t>
            </w:r>
            <w:r w:rsidR="004527F3" w:rsidRPr="008048D3">
              <w:rPr>
                <w:rFonts w:ascii="Verdana" w:hAnsi="Verdana" w:cs="Arial"/>
                <w:sz w:val="16"/>
                <w:szCs w:val="16"/>
                <w:lang w:val="lt-LT"/>
              </w:rPr>
              <w:t>plan</w:t>
            </w:r>
            <w:r w:rsidRPr="008048D3">
              <w:rPr>
                <w:rFonts w:ascii="Verdana" w:hAnsi="Verdana" w:cs="Arial"/>
                <w:sz w:val="16"/>
                <w:szCs w:val="16"/>
                <w:lang w:val="lt-LT"/>
              </w:rPr>
              <w:t>uoja toliau investuoti į žemės ūkio įrengimus, skirtus ekologiniam žemės ūkiui</w:t>
            </w:r>
            <w:r w:rsidR="004527F3" w:rsidRPr="008048D3">
              <w:rPr>
                <w:rFonts w:ascii="Verdana" w:hAnsi="Verdana" w:cs="Arial"/>
                <w:sz w:val="16"/>
                <w:szCs w:val="16"/>
                <w:lang w:val="lt-LT"/>
              </w:rPr>
              <w:t xml:space="preserve">. </w:t>
            </w:r>
            <w:r w:rsidRPr="008048D3">
              <w:rPr>
                <w:rFonts w:ascii="Verdana" w:hAnsi="Verdana" w:cs="Arial"/>
                <w:sz w:val="16"/>
                <w:szCs w:val="16"/>
                <w:lang w:val="lt-LT"/>
              </w:rPr>
              <w:t>Papildomų investicijų į žemės ūkio įrengimus reikės ir dėl išplėstų dirbamos žemės plotų</w:t>
            </w:r>
            <w:r w:rsidR="004527F3" w:rsidRPr="008048D3">
              <w:rPr>
                <w:rFonts w:ascii="Verdana" w:hAnsi="Verdana" w:cs="Arial"/>
                <w:sz w:val="16"/>
                <w:szCs w:val="16"/>
                <w:lang w:val="lt-LT"/>
              </w:rPr>
              <w:t xml:space="preserve">. </w:t>
            </w:r>
            <w:r w:rsidRPr="008048D3">
              <w:rPr>
                <w:rFonts w:ascii="Verdana" w:hAnsi="Verdana" w:cs="Arial"/>
                <w:sz w:val="16"/>
                <w:szCs w:val="16"/>
                <w:lang w:val="lt-LT"/>
              </w:rPr>
              <w:t xml:space="preserve">Pereinamuoju laikotarpiu </w:t>
            </w:r>
            <w:r w:rsidR="004527F3" w:rsidRPr="008048D3">
              <w:rPr>
                <w:rFonts w:ascii="Verdana" w:hAnsi="Verdana" w:cs="Arial"/>
                <w:sz w:val="16"/>
                <w:szCs w:val="16"/>
                <w:lang w:val="lt-LT"/>
              </w:rPr>
              <w:t>Grup</w:t>
            </w:r>
            <w:r w:rsidRPr="008048D3">
              <w:rPr>
                <w:rFonts w:ascii="Verdana" w:hAnsi="Verdana" w:cs="Arial"/>
                <w:sz w:val="16"/>
                <w:szCs w:val="16"/>
                <w:lang w:val="lt-LT"/>
              </w:rPr>
              <w:t>ė</w:t>
            </w:r>
            <w:r w:rsidR="004527F3" w:rsidRPr="008048D3">
              <w:rPr>
                <w:rFonts w:ascii="Verdana" w:hAnsi="Verdana" w:cs="Arial"/>
                <w:sz w:val="16"/>
                <w:szCs w:val="16"/>
                <w:lang w:val="lt-LT"/>
              </w:rPr>
              <w:t xml:space="preserve"> </w:t>
            </w:r>
            <w:r w:rsidRPr="008048D3">
              <w:rPr>
                <w:rFonts w:ascii="Verdana" w:hAnsi="Verdana" w:cs="Arial"/>
                <w:sz w:val="16"/>
                <w:szCs w:val="16"/>
                <w:lang w:val="lt-LT"/>
              </w:rPr>
              <w:t xml:space="preserve">planuoja atlikti įvairius veiklos testus, siekdama išbandyti tvaraus ekologinio ūkininkavimo </w:t>
            </w:r>
            <w:r w:rsidR="004527F3" w:rsidRPr="008048D3">
              <w:rPr>
                <w:rFonts w:ascii="Verdana" w:hAnsi="Verdana" w:cs="Arial"/>
                <w:sz w:val="16"/>
                <w:szCs w:val="16"/>
                <w:lang w:val="lt-LT"/>
              </w:rPr>
              <w:t>model</w:t>
            </w:r>
            <w:r w:rsidRPr="008048D3">
              <w:rPr>
                <w:rFonts w:ascii="Verdana" w:hAnsi="Verdana" w:cs="Arial"/>
                <w:sz w:val="16"/>
                <w:szCs w:val="16"/>
                <w:lang w:val="lt-LT"/>
              </w:rPr>
              <w:t>į siekiant padidinti našumą ir derlių</w:t>
            </w:r>
            <w:r w:rsidR="004527F3" w:rsidRPr="008048D3">
              <w:rPr>
                <w:rFonts w:ascii="Verdana" w:hAnsi="Verdana" w:cs="Arial"/>
                <w:sz w:val="16"/>
                <w:szCs w:val="16"/>
                <w:lang w:val="lt-LT"/>
              </w:rPr>
              <w:t>.</w:t>
            </w:r>
          </w:p>
          <w:p w14:paraId="22ECC724" w14:textId="77777777" w:rsidR="004527F3" w:rsidRPr="008048D3" w:rsidRDefault="004527F3" w:rsidP="004527F3">
            <w:pPr>
              <w:jc w:val="both"/>
              <w:rPr>
                <w:rFonts w:ascii="Verdana" w:hAnsi="Verdana" w:cs="Arial"/>
                <w:sz w:val="16"/>
                <w:szCs w:val="16"/>
                <w:lang w:val="lt-LT"/>
              </w:rPr>
            </w:pPr>
          </w:p>
          <w:p w14:paraId="70A085CB" w14:textId="03124C1F" w:rsidR="004527F3" w:rsidRPr="008048D3" w:rsidRDefault="00454F84" w:rsidP="004527F3">
            <w:pPr>
              <w:jc w:val="both"/>
              <w:rPr>
                <w:rFonts w:ascii="Verdana" w:hAnsi="Verdana" w:cs="Arial"/>
                <w:sz w:val="16"/>
                <w:szCs w:val="16"/>
                <w:lang w:val="lt-LT"/>
              </w:rPr>
            </w:pPr>
            <w:r w:rsidRPr="008048D3">
              <w:rPr>
                <w:rFonts w:ascii="Verdana" w:hAnsi="Verdana" w:cs="Arial"/>
                <w:sz w:val="16"/>
                <w:szCs w:val="16"/>
                <w:lang w:val="lt-LT"/>
              </w:rPr>
              <w:t>2017 m. gruodžio 31 d.</w:t>
            </w:r>
            <w:r w:rsidR="004527F3" w:rsidRPr="008048D3">
              <w:rPr>
                <w:rFonts w:ascii="Verdana" w:hAnsi="Verdana" w:cs="Arial"/>
                <w:sz w:val="16"/>
                <w:szCs w:val="16"/>
                <w:lang w:val="lt-LT"/>
              </w:rPr>
              <w:t xml:space="preserve"> Grup</w:t>
            </w:r>
            <w:r w:rsidR="00360BDB" w:rsidRPr="008048D3">
              <w:rPr>
                <w:rFonts w:ascii="Verdana" w:hAnsi="Verdana" w:cs="Arial"/>
                <w:sz w:val="16"/>
                <w:szCs w:val="16"/>
                <w:lang w:val="lt-LT"/>
              </w:rPr>
              <w:t>ės</w:t>
            </w:r>
            <w:r w:rsidR="004527F3" w:rsidRPr="008048D3">
              <w:rPr>
                <w:rFonts w:ascii="Verdana" w:hAnsi="Verdana" w:cs="Arial"/>
                <w:sz w:val="16"/>
                <w:szCs w:val="16"/>
                <w:lang w:val="lt-LT"/>
              </w:rPr>
              <w:t xml:space="preserve"> </w:t>
            </w:r>
            <w:r w:rsidR="00360BDB" w:rsidRPr="008048D3">
              <w:rPr>
                <w:rFonts w:ascii="Verdana" w:hAnsi="Verdana" w:cs="Arial"/>
                <w:sz w:val="16"/>
                <w:szCs w:val="16"/>
                <w:lang w:val="lt-LT"/>
              </w:rPr>
              <w:t xml:space="preserve">bandą sudarė </w:t>
            </w:r>
            <w:r w:rsidR="004527F3" w:rsidRPr="008048D3">
              <w:rPr>
                <w:rFonts w:ascii="Verdana" w:hAnsi="Verdana" w:cs="Arial"/>
                <w:sz w:val="16"/>
                <w:szCs w:val="16"/>
                <w:lang w:val="lt-LT"/>
              </w:rPr>
              <w:t>3</w:t>
            </w:r>
            <w:r w:rsidR="00360BDB" w:rsidRPr="008048D3">
              <w:rPr>
                <w:rFonts w:ascii="Verdana" w:hAnsi="Verdana" w:cs="Arial"/>
                <w:sz w:val="16"/>
                <w:szCs w:val="16"/>
                <w:lang w:val="lt-LT"/>
              </w:rPr>
              <w:t xml:space="preserve"> </w:t>
            </w:r>
            <w:r w:rsidR="004527F3" w:rsidRPr="008048D3">
              <w:rPr>
                <w:rFonts w:ascii="Verdana" w:hAnsi="Verdana" w:cs="Arial"/>
                <w:sz w:val="16"/>
                <w:szCs w:val="16"/>
                <w:lang w:val="lt-LT"/>
              </w:rPr>
              <w:t xml:space="preserve">670 </w:t>
            </w:r>
            <w:r w:rsidR="00360BDB" w:rsidRPr="008048D3">
              <w:rPr>
                <w:rFonts w:ascii="Verdana" w:hAnsi="Verdana" w:cs="Arial"/>
                <w:sz w:val="16"/>
                <w:szCs w:val="16"/>
                <w:lang w:val="lt-LT"/>
              </w:rPr>
              <w:t xml:space="preserve">melžiamų karvių </w:t>
            </w:r>
            <w:r w:rsidR="004527F3" w:rsidRPr="008048D3">
              <w:rPr>
                <w:rFonts w:ascii="Verdana" w:hAnsi="Verdana" w:cs="Arial"/>
                <w:sz w:val="16"/>
                <w:szCs w:val="16"/>
                <w:lang w:val="lt-LT"/>
              </w:rPr>
              <w:t>(2016</w:t>
            </w:r>
            <w:r w:rsidR="00360BDB" w:rsidRPr="008048D3">
              <w:rPr>
                <w:rFonts w:ascii="Verdana" w:hAnsi="Verdana" w:cs="Arial"/>
                <w:sz w:val="16"/>
                <w:szCs w:val="16"/>
                <w:lang w:val="lt-LT"/>
              </w:rPr>
              <w:t xml:space="preserve"> m.</w:t>
            </w:r>
            <w:r w:rsidR="004527F3" w:rsidRPr="008048D3">
              <w:rPr>
                <w:rFonts w:ascii="Verdana" w:hAnsi="Verdana" w:cs="Arial"/>
                <w:sz w:val="16"/>
                <w:szCs w:val="16"/>
                <w:lang w:val="lt-LT"/>
              </w:rPr>
              <w:t xml:space="preserve"> 3</w:t>
            </w:r>
            <w:r w:rsidR="00360BDB" w:rsidRPr="008048D3">
              <w:rPr>
                <w:rFonts w:ascii="Verdana" w:hAnsi="Verdana" w:cs="Arial"/>
                <w:sz w:val="16"/>
                <w:szCs w:val="16"/>
                <w:lang w:val="lt-LT"/>
              </w:rPr>
              <w:t> </w:t>
            </w:r>
            <w:r w:rsidR="004527F3" w:rsidRPr="008048D3">
              <w:rPr>
                <w:rFonts w:ascii="Verdana" w:hAnsi="Verdana" w:cs="Arial"/>
                <w:sz w:val="16"/>
                <w:szCs w:val="16"/>
                <w:lang w:val="lt-LT"/>
              </w:rPr>
              <w:t>554</w:t>
            </w:r>
            <w:r w:rsidR="00360BDB" w:rsidRPr="008048D3">
              <w:rPr>
                <w:rFonts w:ascii="Verdana" w:hAnsi="Verdana" w:cs="Arial"/>
                <w:sz w:val="16"/>
                <w:szCs w:val="16"/>
                <w:lang w:val="lt-LT"/>
              </w:rPr>
              <w:t xml:space="preserve"> melžiamos karvės</w:t>
            </w:r>
            <w:r w:rsidR="004527F3" w:rsidRPr="008048D3">
              <w:rPr>
                <w:rFonts w:ascii="Verdana" w:hAnsi="Verdana" w:cs="Arial"/>
                <w:sz w:val="16"/>
                <w:szCs w:val="16"/>
                <w:lang w:val="lt-LT"/>
              </w:rPr>
              <w:t>), 2</w:t>
            </w:r>
            <w:r w:rsidR="00360BDB" w:rsidRPr="008048D3">
              <w:rPr>
                <w:rFonts w:ascii="Verdana" w:hAnsi="Verdana" w:cs="Arial"/>
                <w:sz w:val="16"/>
                <w:szCs w:val="16"/>
                <w:lang w:val="lt-LT"/>
              </w:rPr>
              <w:t xml:space="preserve"> </w:t>
            </w:r>
            <w:r w:rsidR="004527F3" w:rsidRPr="008048D3">
              <w:rPr>
                <w:rFonts w:ascii="Verdana" w:hAnsi="Verdana" w:cs="Arial"/>
                <w:sz w:val="16"/>
                <w:szCs w:val="16"/>
                <w:lang w:val="lt-LT"/>
              </w:rPr>
              <w:t xml:space="preserve">949 </w:t>
            </w:r>
            <w:r w:rsidR="00360BDB" w:rsidRPr="008048D3">
              <w:rPr>
                <w:rFonts w:ascii="Verdana" w:hAnsi="Verdana" w:cs="Arial"/>
                <w:sz w:val="16"/>
                <w:szCs w:val="16"/>
                <w:lang w:val="lt-LT"/>
              </w:rPr>
              <w:t xml:space="preserve">telyčios </w:t>
            </w:r>
            <w:r w:rsidR="004527F3" w:rsidRPr="008048D3">
              <w:rPr>
                <w:rFonts w:ascii="Verdana" w:hAnsi="Verdana" w:cs="Arial"/>
                <w:sz w:val="16"/>
                <w:szCs w:val="16"/>
                <w:lang w:val="lt-LT"/>
              </w:rPr>
              <w:t>(2016</w:t>
            </w:r>
            <w:r w:rsidR="00360BDB" w:rsidRPr="008048D3">
              <w:rPr>
                <w:rFonts w:ascii="Verdana" w:hAnsi="Verdana" w:cs="Arial"/>
                <w:sz w:val="16"/>
                <w:szCs w:val="16"/>
                <w:lang w:val="lt-LT"/>
              </w:rPr>
              <w:t xml:space="preserve"> m.</w:t>
            </w:r>
            <w:r w:rsidR="004527F3" w:rsidRPr="008048D3">
              <w:rPr>
                <w:rFonts w:ascii="Verdana" w:hAnsi="Verdana" w:cs="Arial"/>
                <w:sz w:val="16"/>
                <w:szCs w:val="16"/>
                <w:lang w:val="lt-LT"/>
              </w:rPr>
              <w:t xml:space="preserve"> 3</w:t>
            </w:r>
            <w:r w:rsidR="00360BDB" w:rsidRPr="008048D3">
              <w:rPr>
                <w:rFonts w:ascii="Verdana" w:hAnsi="Verdana" w:cs="Arial"/>
                <w:sz w:val="16"/>
                <w:szCs w:val="16"/>
                <w:lang w:val="lt-LT"/>
              </w:rPr>
              <w:t> </w:t>
            </w:r>
            <w:r w:rsidR="004527F3" w:rsidRPr="008048D3">
              <w:rPr>
                <w:rFonts w:ascii="Verdana" w:hAnsi="Verdana" w:cs="Arial"/>
                <w:sz w:val="16"/>
                <w:szCs w:val="16"/>
                <w:lang w:val="lt-LT"/>
              </w:rPr>
              <w:t>277</w:t>
            </w:r>
            <w:r w:rsidR="00360BDB" w:rsidRPr="008048D3">
              <w:rPr>
                <w:rFonts w:ascii="Verdana" w:hAnsi="Verdana" w:cs="Arial"/>
                <w:sz w:val="16"/>
                <w:szCs w:val="16"/>
                <w:lang w:val="lt-LT"/>
              </w:rPr>
              <w:t xml:space="preserve"> telyčios</w:t>
            </w:r>
            <w:r w:rsidR="004527F3" w:rsidRPr="008048D3">
              <w:rPr>
                <w:rFonts w:ascii="Verdana" w:hAnsi="Verdana" w:cs="Arial"/>
                <w:sz w:val="16"/>
                <w:szCs w:val="16"/>
                <w:lang w:val="lt-LT"/>
              </w:rPr>
              <w:t>)</w:t>
            </w:r>
            <w:r w:rsidR="00360BDB" w:rsidRPr="008048D3">
              <w:rPr>
                <w:rFonts w:ascii="Verdana" w:hAnsi="Verdana" w:cs="Arial"/>
                <w:sz w:val="16"/>
                <w:szCs w:val="16"/>
                <w:lang w:val="lt-LT"/>
              </w:rPr>
              <w:t xml:space="preserve">, kurios bus auginamos iki melžiamų karvių, ir </w:t>
            </w:r>
            <w:r w:rsidR="004527F3" w:rsidRPr="008048D3">
              <w:rPr>
                <w:rFonts w:ascii="Verdana" w:hAnsi="Verdana" w:cs="Arial"/>
                <w:sz w:val="16"/>
                <w:szCs w:val="16"/>
                <w:lang w:val="lt-LT"/>
              </w:rPr>
              <w:t>128 bul</w:t>
            </w:r>
            <w:r w:rsidR="00360BDB" w:rsidRPr="008048D3">
              <w:rPr>
                <w:rFonts w:ascii="Verdana" w:hAnsi="Verdana" w:cs="Arial"/>
                <w:sz w:val="16"/>
                <w:szCs w:val="16"/>
                <w:lang w:val="lt-LT"/>
              </w:rPr>
              <w:t>iai</w:t>
            </w:r>
            <w:r w:rsidR="004527F3" w:rsidRPr="008048D3">
              <w:rPr>
                <w:rFonts w:ascii="Verdana" w:hAnsi="Verdana" w:cs="Arial"/>
                <w:sz w:val="16"/>
                <w:szCs w:val="16"/>
                <w:lang w:val="lt-LT"/>
              </w:rPr>
              <w:t xml:space="preserve"> (2016</w:t>
            </w:r>
            <w:r w:rsidR="00360BDB" w:rsidRPr="008048D3">
              <w:rPr>
                <w:rFonts w:ascii="Verdana" w:hAnsi="Verdana" w:cs="Arial"/>
                <w:sz w:val="16"/>
                <w:szCs w:val="16"/>
                <w:lang w:val="lt-LT"/>
              </w:rPr>
              <w:t xml:space="preserve"> m.</w:t>
            </w:r>
            <w:r w:rsidR="004527F3" w:rsidRPr="008048D3">
              <w:rPr>
                <w:rFonts w:ascii="Verdana" w:hAnsi="Verdana" w:cs="Arial"/>
                <w:sz w:val="16"/>
                <w:szCs w:val="16"/>
                <w:lang w:val="lt-LT"/>
              </w:rPr>
              <w:t xml:space="preserve"> 191</w:t>
            </w:r>
            <w:r w:rsidR="00360BDB" w:rsidRPr="008048D3">
              <w:rPr>
                <w:rFonts w:ascii="Verdana" w:hAnsi="Verdana" w:cs="Arial"/>
                <w:sz w:val="16"/>
                <w:szCs w:val="16"/>
                <w:lang w:val="lt-LT"/>
              </w:rPr>
              <w:t xml:space="preserve"> bulius</w:t>
            </w:r>
            <w:r w:rsidR="004527F3" w:rsidRPr="008048D3">
              <w:rPr>
                <w:rFonts w:ascii="Verdana" w:hAnsi="Verdana" w:cs="Arial"/>
                <w:sz w:val="16"/>
                <w:szCs w:val="16"/>
                <w:lang w:val="lt-LT"/>
              </w:rPr>
              <w:t xml:space="preserve">). </w:t>
            </w:r>
            <w:r w:rsidR="00360BDB" w:rsidRPr="008048D3">
              <w:rPr>
                <w:rFonts w:ascii="Verdana" w:hAnsi="Verdana" w:cs="Arial"/>
                <w:sz w:val="16"/>
                <w:szCs w:val="16"/>
                <w:lang w:val="lt-LT"/>
              </w:rPr>
              <w:t xml:space="preserve">2017 m. pienininkystės segmento bendrasis pelnas siekė </w:t>
            </w:r>
            <w:r w:rsidR="004527F3" w:rsidRPr="008048D3">
              <w:rPr>
                <w:rFonts w:ascii="Verdana" w:hAnsi="Verdana" w:cs="Arial"/>
                <w:sz w:val="16"/>
                <w:szCs w:val="16"/>
                <w:lang w:val="lt-LT"/>
              </w:rPr>
              <w:t>0</w:t>
            </w:r>
            <w:r w:rsidR="00360BDB" w:rsidRPr="008048D3">
              <w:rPr>
                <w:rFonts w:ascii="Verdana" w:hAnsi="Verdana" w:cs="Arial"/>
                <w:sz w:val="16"/>
                <w:szCs w:val="16"/>
                <w:lang w:val="lt-LT"/>
              </w:rPr>
              <w:t>,</w:t>
            </w:r>
            <w:r w:rsidR="004527F3" w:rsidRPr="008048D3">
              <w:rPr>
                <w:rFonts w:ascii="Verdana" w:hAnsi="Verdana" w:cs="Arial"/>
                <w:sz w:val="16"/>
                <w:szCs w:val="16"/>
                <w:lang w:val="lt-LT"/>
              </w:rPr>
              <w:t xml:space="preserve">5 </w:t>
            </w:r>
            <w:r w:rsidR="00360BDB" w:rsidRPr="008048D3">
              <w:rPr>
                <w:rFonts w:ascii="Verdana" w:hAnsi="Verdana" w:cs="Arial"/>
                <w:sz w:val="16"/>
                <w:szCs w:val="16"/>
                <w:lang w:val="lt-LT"/>
              </w:rPr>
              <w:t>mln.</w:t>
            </w:r>
            <w:r w:rsidR="004527F3" w:rsidRPr="008048D3">
              <w:rPr>
                <w:rFonts w:ascii="Verdana" w:hAnsi="Verdana" w:cs="Arial"/>
                <w:sz w:val="16"/>
                <w:szCs w:val="16"/>
                <w:lang w:val="lt-LT"/>
              </w:rPr>
              <w:t xml:space="preserve"> </w:t>
            </w:r>
            <w:r w:rsidR="00360BDB" w:rsidRPr="008048D3">
              <w:rPr>
                <w:rFonts w:ascii="Verdana" w:hAnsi="Verdana" w:cs="Arial"/>
                <w:sz w:val="16"/>
                <w:szCs w:val="16"/>
                <w:lang w:val="lt-LT"/>
              </w:rPr>
              <w:t>EUR</w:t>
            </w:r>
            <w:r w:rsidR="004527F3" w:rsidRPr="008048D3">
              <w:rPr>
                <w:rFonts w:ascii="Verdana" w:hAnsi="Verdana" w:cs="Arial"/>
                <w:sz w:val="16"/>
                <w:szCs w:val="16"/>
                <w:lang w:val="lt-LT"/>
              </w:rPr>
              <w:t>. Grup</w:t>
            </w:r>
            <w:r w:rsidR="00360BDB" w:rsidRPr="008048D3">
              <w:rPr>
                <w:rFonts w:ascii="Verdana" w:hAnsi="Verdana" w:cs="Arial"/>
                <w:sz w:val="16"/>
                <w:szCs w:val="16"/>
                <w:lang w:val="lt-LT"/>
              </w:rPr>
              <w:t xml:space="preserve">ė per metus išaugina ir parduoda </w:t>
            </w:r>
            <w:r w:rsidR="004527F3" w:rsidRPr="008048D3">
              <w:rPr>
                <w:rFonts w:ascii="Verdana" w:hAnsi="Verdana" w:cs="Arial"/>
                <w:sz w:val="16"/>
                <w:szCs w:val="16"/>
                <w:lang w:val="lt-LT"/>
              </w:rPr>
              <w:t>a</w:t>
            </w:r>
            <w:r w:rsidR="00360BDB" w:rsidRPr="008048D3">
              <w:rPr>
                <w:rFonts w:ascii="Verdana" w:hAnsi="Verdana" w:cs="Arial"/>
                <w:sz w:val="16"/>
                <w:szCs w:val="16"/>
                <w:lang w:val="lt-LT"/>
              </w:rPr>
              <w:t xml:space="preserve">pie </w:t>
            </w:r>
            <w:r w:rsidR="004527F3" w:rsidRPr="008048D3">
              <w:rPr>
                <w:rFonts w:ascii="Verdana" w:hAnsi="Verdana" w:cs="Arial"/>
                <w:sz w:val="16"/>
                <w:szCs w:val="16"/>
                <w:lang w:val="lt-LT"/>
              </w:rPr>
              <w:t xml:space="preserve">11 </w:t>
            </w:r>
            <w:r w:rsidR="00EB41A0" w:rsidRPr="008048D3">
              <w:rPr>
                <w:rFonts w:ascii="Verdana" w:hAnsi="Verdana" w:cs="Arial"/>
                <w:sz w:val="16"/>
                <w:szCs w:val="16"/>
                <w:lang w:val="lt-LT"/>
              </w:rPr>
              <w:t>tūkst.</w:t>
            </w:r>
            <w:r w:rsidR="004527F3" w:rsidRPr="008048D3">
              <w:rPr>
                <w:rFonts w:ascii="Verdana" w:hAnsi="Verdana" w:cs="Arial"/>
                <w:sz w:val="16"/>
                <w:szCs w:val="16"/>
                <w:lang w:val="lt-LT"/>
              </w:rPr>
              <w:t xml:space="preserve"> ton</w:t>
            </w:r>
            <w:r w:rsidR="00360BDB" w:rsidRPr="008048D3">
              <w:rPr>
                <w:rFonts w:ascii="Verdana" w:hAnsi="Verdana" w:cs="Arial"/>
                <w:sz w:val="16"/>
                <w:szCs w:val="16"/>
                <w:lang w:val="lt-LT"/>
              </w:rPr>
              <w:t>ų šviežių kultūrinių grybų</w:t>
            </w:r>
            <w:r w:rsidR="004527F3" w:rsidRPr="008048D3">
              <w:rPr>
                <w:rFonts w:ascii="Verdana" w:hAnsi="Verdana" w:cs="Arial"/>
                <w:sz w:val="16"/>
                <w:szCs w:val="16"/>
                <w:lang w:val="lt-LT"/>
              </w:rPr>
              <w:t xml:space="preserve">. </w:t>
            </w:r>
            <w:r w:rsidR="00360BDB" w:rsidRPr="008048D3">
              <w:rPr>
                <w:rFonts w:ascii="Verdana" w:hAnsi="Verdana" w:cs="Arial"/>
                <w:sz w:val="16"/>
                <w:szCs w:val="16"/>
                <w:lang w:val="lt-LT"/>
              </w:rPr>
              <w:t xml:space="preserve">2017 m. grybų auginimo segmento bendrasis pelnas siekė </w:t>
            </w:r>
            <w:r w:rsidR="004527F3" w:rsidRPr="008048D3">
              <w:rPr>
                <w:rFonts w:ascii="Verdana" w:hAnsi="Verdana" w:cs="Arial"/>
                <w:sz w:val="16"/>
                <w:szCs w:val="16"/>
                <w:lang w:val="lt-LT"/>
              </w:rPr>
              <w:t>a</w:t>
            </w:r>
            <w:r w:rsidR="00360BDB" w:rsidRPr="008048D3">
              <w:rPr>
                <w:rFonts w:ascii="Verdana" w:hAnsi="Verdana" w:cs="Arial"/>
                <w:sz w:val="16"/>
                <w:szCs w:val="16"/>
                <w:lang w:val="lt-LT"/>
              </w:rPr>
              <w:t xml:space="preserve">pie </w:t>
            </w:r>
            <w:r w:rsidR="004527F3" w:rsidRPr="008048D3">
              <w:rPr>
                <w:rFonts w:ascii="Verdana" w:hAnsi="Verdana" w:cs="Arial"/>
                <w:sz w:val="16"/>
                <w:szCs w:val="16"/>
                <w:lang w:val="lt-LT"/>
              </w:rPr>
              <w:t xml:space="preserve">1 </w:t>
            </w:r>
            <w:r w:rsidR="00360BDB" w:rsidRPr="008048D3">
              <w:rPr>
                <w:rFonts w:ascii="Verdana" w:hAnsi="Verdana" w:cs="Arial"/>
                <w:sz w:val="16"/>
                <w:szCs w:val="16"/>
                <w:lang w:val="lt-LT"/>
              </w:rPr>
              <w:t>mln.</w:t>
            </w:r>
            <w:r w:rsidR="004527F3" w:rsidRPr="008048D3">
              <w:rPr>
                <w:rFonts w:ascii="Verdana" w:hAnsi="Verdana" w:cs="Arial"/>
                <w:sz w:val="16"/>
                <w:szCs w:val="16"/>
                <w:lang w:val="lt-LT"/>
              </w:rPr>
              <w:t xml:space="preserve"> </w:t>
            </w:r>
            <w:r w:rsidR="00360BDB" w:rsidRPr="008048D3">
              <w:rPr>
                <w:rFonts w:ascii="Verdana" w:hAnsi="Verdana" w:cs="Arial"/>
                <w:sz w:val="16"/>
                <w:szCs w:val="16"/>
                <w:lang w:val="lt-LT"/>
              </w:rPr>
              <w:t>EUR</w:t>
            </w:r>
            <w:r w:rsidR="004527F3" w:rsidRPr="008048D3">
              <w:rPr>
                <w:rFonts w:ascii="Verdana" w:hAnsi="Verdana" w:cs="Arial"/>
                <w:sz w:val="16"/>
                <w:szCs w:val="16"/>
                <w:lang w:val="lt-LT"/>
              </w:rPr>
              <w:t>.</w:t>
            </w:r>
          </w:p>
          <w:p w14:paraId="5939B528" w14:textId="77777777" w:rsidR="004527F3" w:rsidRPr="008048D3" w:rsidRDefault="004527F3" w:rsidP="004527F3">
            <w:pPr>
              <w:jc w:val="both"/>
              <w:rPr>
                <w:rFonts w:ascii="Verdana" w:hAnsi="Verdana" w:cs="Arial"/>
                <w:sz w:val="16"/>
                <w:szCs w:val="16"/>
                <w:lang w:val="lt-LT"/>
              </w:rPr>
            </w:pPr>
          </w:p>
          <w:p w14:paraId="15E7957A" w14:textId="65E9AC6E" w:rsidR="004527F3" w:rsidRPr="008048D3" w:rsidRDefault="00FE783E" w:rsidP="004527F3">
            <w:pPr>
              <w:jc w:val="both"/>
              <w:rPr>
                <w:rFonts w:ascii="Verdana" w:hAnsi="Verdana" w:cs="Arial"/>
                <w:sz w:val="16"/>
                <w:szCs w:val="16"/>
                <w:lang w:val="lt-LT"/>
              </w:rPr>
            </w:pPr>
            <w:r w:rsidRPr="008048D3">
              <w:rPr>
                <w:rFonts w:ascii="Verdana" w:hAnsi="Verdana" w:cs="Arial"/>
                <w:sz w:val="16"/>
                <w:szCs w:val="16"/>
                <w:lang w:val="lt-LT"/>
              </w:rPr>
              <w:t>Planuojama, kad galvijų skaičius išliks stabilus</w:t>
            </w:r>
            <w:r w:rsidR="004527F3" w:rsidRPr="008048D3">
              <w:rPr>
                <w:rFonts w:ascii="Verdana" w:hAnsi="Verdana" w:cs="Arial"/>
                <w:sz w:val="16"/>
                <w:szCs w:val="16"/>
                <w:lang w:val="lt-LT"/>
              </w:rPr>
              <w:t xml:space="preserve">. </w:t>
            </w:r>
            <w:r w:rsidRPr="008048D3">
              <w:rPr>
                <w:rFonts w:ascii="Verdana" w:hAnsi="Verdana" w:cs="Arial"/>
                <w:sz w:val="16"/>
                <w:szCs w:val="16"/>
                <w:lang w:val="lt-LT"/>
              </w:rPr>
              <w:t>Grupės primelžiamas pienas sertifikuotas kaip ekologiškas nuo 2017 m. rugpjūčio mėn.</w:t>
            </w:r>
            <w:r w:rsidR="004527F3" w:rsidRPr="008048D3">
              <w:rPr>
                <w:rFonts w:ascii="Verdana" w:hAnsi="Verdana" w:cs="Arial"/>
                <w:sz w:val="16"/>
                <w:szCs w:val="16"/>
                <w:lang w:val="lt-LT"/>
              </w:rPr>
              <w:t xml:space="preserve">, </w:t>
            </w:r>
            <w:r w:rsidRPr="008048D3">
              <w:rPr>
                <w:rFonts w:ascii="Verdana" w:hAnsi="Verdana" w:cs="Arial"/>
                <w:sz w:val="16"/>
                <w:szCs w:val="16"/>
                <w:lang w:val="lt-LT"/>
              </w:rPr>
              <w:t xml:space="preserve">tačiau </w:t>
            </w:r>
            <w:r w:rsidR="004860E1" w:rsidRPr="008048D3">
              <w:rPr>
                <w:rFonts w:ascii="Verdana" w:hAnsi="Verdana" w:cs="Arial"/>
                <w:sz w:val="16"/>
                <w:szCs w:val="16"/>
                <w:lang w:val="lt-LT"/>
              </w:rPr>
              <w:t xml:space="preserve">iki </w:t>
            </w:r>
            <w:r w:rsidRPr="008048D3">
              <w:rPr>
                <w:rFonts w:ascii="Verdana" w:hAnsi="Verdana" w:cs="Arial"/>
                <w:sz w:val="16"/>
                <w:szCs w:val="16"/>
                <w:lang w:val="lt-LT"/>
              </w:rPr>
              <w:t>2017 m. pabaigo</w:t>
            </w:r>
            <w:r w:rsidR="004860E1" w:rsidRPr="008048D3">
              <w:rPr>
                <w:rFonts w:ascii="Verdana" w:hAnsi="Verdana" w:cs="Arial"/>
                <w:sz w:val="16"/>
                <w:szCs w:val="16"/>
                <w:lang w:val="lt-LT"/>
              </w:rPr>
              <w:t>s</w:t>
            </w:r>
            <w:r w:rsidRPr="008048D3">
              <w:rPr>
                <w:rFonts w:ascii="Verdana" w:hAnsi="Verdana" w:cs="Arial"/>
                <w:sz w:val="16"/>
                <w:szCs w:val="16"/>
                <w:lang w:val="lt-LT"/>
              </w:rPr>
              <w:t xml:space="preserve"> ne visa pieno produkcija buvo parduo</w:t>
            </w:r>
            <w:r w:rsidR="004860E1" w:rsidRPr="008048D3">
              <w:rPr>
                <w:rFonts w:ascii="Verdana" w:hAnsi="Verdana" w:cs="Arial"/>
                <w:sz w:val="16"/>
                <w:szCs w:val="16"/>
                <w:lang w:val="lt-LT"/>
              </w:rPr>
              <w:t>t</w:t>
            </w:r>
            <w:r w:rsidRPr="008048D3">
              <w:rPr>
                <w:rFonts w:ascii="Verdana" w:hAnsi="Verdana" w:cs="Arial"/>
                <w:sz w:val="16"/>
                <w:szCs w:val="16"/>
                <w:lang w:val="lt-LT"/>
              </w:rPr>
              <w:t>a ekologi</w:t>
            </w:r>
            <w:r w:rsidR="004860E1" w:rsidRPr="008048D3">
              <w:rPr>
                <w:rFonts w:ascii="Verdana" w:hAnsi="Verdana" w:cs="Arial"/>
                <w:sz w:val="16"/>
                <w:szCs w:val="16"/>
                <w:lang w:val="lt-LT"/>
              </w:rPr>
              <w:t>škos produkcijos kainomis</w:t>
            </w:r>
            <w:r w:rsidR="004527F3" w:rsidRPr="008048D3">
              <w:rPr>
                <w:rFonts w:ascii="Verdana" w:hAnsi="Verdana" w:cs="Arial"/>
                <w:sz w:val="16"/>
                <w:szCs w:val="16"/>
                <w:lang w:val="lt-LT"/>
              </w:rPr>
              <w:t>. Grup</w:t>
            </w:r>
            <w:r w:rsidRPr="008048D3">
              <w:rPr>
                <w:rFonts w:ascii="Verdana" w:hAnsi="Verdana" w:cs="Arial"/>
                <w:sz w:val="16"/>
                <w:szCs w:val="16"/>
                <w:lang w:val="lt-LT"/>
              </w:rPr>
              <w:t>ė</w:t>
            </w:r>
            <w:r w:rsidR="004527F3" w:rsidRPr="008048D3">
              <w:rPr>
                <w:rFonts w:ascii="Verdana" w:hAnsi="Verdana" w:cs="Arial"/>
                <w:sz w:val="16"/>
                <w:szCs w:val="16"/>
                <w:lang w:val="lt-LT"/>
              </w:rPr>
              <w:t xml:space="preserve"> </w:t>
            </w:r>
            <w:r w:rsidRPr="008048D3">
              <w:rPr>
                <w:rFonts w:ascii="Verdana" w:hAnsi="Verdana" w:cs="Arial"/>
                <w:sz w:val="16"/>
                <w:szCs w:val="16"/>
                <w:lang w:val="lt-LT"/>
              </w:rPr>
              <w:t xml:space="preserve">siekia </w:t>
            </w:r>
            <w:r w:rsidR="00371FCB" w:rsidRPr="008048D3">
              <w:rPr>
                <w:rFonts w:ascii="Verdana" w:hAnsi="Verdana" w:cs="Arial"/>
                <w:sz w:val="16"/>
                <w:szCs w:val="16"/>
                <w:lang w:val="lt-LT"/>
              </w:rPr>
              <w:t xml:space="preserve">2018 m. </w:t>
            </w:r>
            <w:r w:rsidR="004860E1" w:rsidRPr="008048D3">
              <w:rPr>
                <w:rFonts w:ascii="Verdana" w:hAnsi="Verdana" w:cs="Arial"/>
                <w:sz w:val="16"/>
                <w:szCs w:val="16"/>
                <w:lang w:val="lt-LT"/>
              </w:rPr>
              <w:t xml:space="preserve">ženkliai </w:t>
            </w:r>
            <w:r w:rsidRPr="008048D3">
              <w:rPr>
                <w:rFonts w:ascii="Verdana" w:hAnsi="Verdana" w:cs="Arial"/>
                <w:sz w:val="16"/>
                <w:szCs w:val="16"/>
                <w:lang w:val="lt-LT"/>
              </w:rPr>
              <w:t>padidinti pieno</w:t>
            </w:r>
            <w:r w:rsidR="004860E1" w:rsidRPr="008048D3">
              <w:rPr>
                <w:rFonts w:ascii="Verdana" w:hAnsi="Verdana" w:cs="Arial"/>
                <w:sz w:val="16"/>
                <w:szCs w:val="16"/>
                <w:lang w:val="lt-LT"/>
              </w:rPr>
              <w:t>,</w:t>
            </w:r>
            <w:r w:rsidRPr="008048D3">
              <w:rPr>
                <w:rFonts w:ascii="Verdana" w:hAnsi="Verdana" w:cs="Arial"/>
                <w:sz w:val="16"/>
                <w:szCs w:val="16"/>
                <w:lang w:val="lt-LT"/>
              </w:rPr>
              <w:t xml:space="preserve"> parduodamo </w:t>
            </w:r>
            <w:r w:rsidR="004860E1" w:rsidRPr="008048D3">
              <w:rPr>
                <w:rFonts w:ascii="Verdana" w:hAnsi="Verdana" w:cs="Arial"/>
                <w:sz w:val="16"/>
                <w:szCs w:val="16"/>
                <w:lang w:val="lt-LT"/>
              </w:rPr>
              <w:t>ekologiškos produkcijos kainomis, kiekį</w:t>
            </w:r>
            <w:r w:rsidR="004527F3" w:rsidRPr="008048D3">
              <w:rPr>
                <w:rFonts w:ascii="Verdana" w:hAnsi="Verdana" w:cs="Arial"/>
                <w:sz w:val="16"/>
                <w:szCs w:val="16"/>
                <w:lang w:val="lt-LT"/>
              </w:rPr>
              <w:t>.</w:t>
            </w:r>
          </w:p>
          <w:p w14:paraId="705E29E8" w14:textId="77777777" w:rsidR="004527F3" w:rsidRPr="008048D3" w:rsidRDefault="004527F3" w:rsidP="004527F3">
            <w:pPr>
              <w:jc w:val="both"/>
              <w:rPr>
                <w:rFonts w:ascii="Verdana" w:hAnsi="Verdana" w:cs="Arial"/>
                <w:sz w:val="16"/>
                <w:szCs w:val="16"/>
                <w:lang w:val="lt-LT"/>
              </w:rPr>
            </w:pPr>
          </w:p>
          <w:p w14:paraId="081CF2FE" w14:textId="5E782482" w:rsidR="00CA4E7A" w:rsidRPr="008048D3" w:rsidRDefault="00094860" w:rsidP="00CA4E7A">
            <w:pPr>
              <w:jc w:val="both"/>
              <w:rPr>
                <w:rFonts w:ascii="Verdana" w:hAnsi="Verdana" w:cstheme="minorHAnsi"/>
                <w:sz w:val="16"/>
                <w:szCs w:val="16"/>
                <w:lang w:val="lt-LT"/>
              </w:rPr>
            </w:pPr>
            <w:r w:rsidRPr="008048D3">
              <w:rPr>
                <w:rFonts w:ascii="Verdana" w:hAnsi="Verdana" w:cs="Arial"/>
                <w:sz w:val="16"/>
                <w:szCs w:val="16"/>
                <w:lang w:val="lt-LT"/>
              </w:rPr>
              <w:t>Tikimasi, kad g</w:t>
            </w:r>
            <w:r w:rsidR="00371FCB" w:rsidRPr="008048D3">
              <w:rPr>
                <w:rFonts w:ascii="Verdana" w:hAnsi="Verdana" w:cs="Arial"/>
                <w:sz w:val="16"/>
                <w:szCs w:val="16"/>
                <w:lang w:val="lt-LT"/>
              </w:rPr>
              <w:t xml:space="preserve">rybų auginimo veikla </w:t>
            </w:r>
            <w:r w:rsidR="004860E1" w:rsidRPr="008048D3">
              <w:rPr>
                <w:rFonts w:ascii="Verdana" w:hAnsi="Verdana" w:cs="Arial"/>
                <w:sz w:val="16"/>
                <w:szCs w:val="16"/>
                <w:lang w:val="lt-LT"/>
              </w:rPr>
              <w:t xml:space="preserve">išliks pirmaujanti </w:t>
            </w:r>
            <w:r w:rsidR="004527F3" w:rsidRPr="008048D3">
              <w:rPr>
                <w:rFonts w:ascii="Verdana" w:hAnsi="Verdana" w:cs="Arial"/>
                <w:sz w:val="16"/>
                <w:szCs w:val="16"/>
                <w:lang w:val="lt-LT"/>
              </w:rPr>
              <w:t>Balti</w:t>
            </w:r>
            <w:r w:rsidR="00371FCB" w:rsidRPr="008048D3">
              <w:rPr>
                <w:rFonts w:ascii="Verdana" w:hAnsi="Verdana" w:cs="Arial"/>
                <w:sz w:val="16"/>
                <w:szCs w:val="16"/>
                <w:lang w:val="lt-LT"/>
              </w:rPr>
              <w:t>jos šalyse</w:t>
            </w:r>
            <w:r w:rsidR="004527F3" w:rsidRPr="008048D3">
              <w:rPr>
                <w:rFonts w:ascii="Verdana" w:hAnsi="Verdana" w:cs="Arial"/>
                <w:sz w:val="16"/>
                <w:szCs w:val="16"/>
                <w:lang w:val="lt-LT"/>
              </w:rPr>
              <w:t xml:space="preserve">, </w:t>
            </w:r>
            <w:r w:rsidR="000A54EB" w:rsidRPr="008048D3">
              <w:rPr>
                <w:rFonts w:ascii="Verdana" w:hAnsi="Verdana" w:cs="Arial"/>
                <w:sz w:val="16"/>
                <w:szCs w:val="16"/>
                <w:lang w:val="lt-LT"/>
              </w:rPr>
              <w:t xml:space="preserve">nors </w:t>
            </w:r>
            <w:r w:rsidR="00371FCB" w:rsidRPr="008048D3">
              <w:rPr>
                <w:rFonts w:ascii="Verdana" w:hAnsi="Verdana" w:cs="Arial"/>
                <w:sz w:val="16"/>
                <w:szCs w:val="16"/>
                <w:lang w:val="lt-LT"/>
              </w:rPr>
              <w:t>artimiausiais metais reikšmingai plėsti gamybos pajėgum</w:t>
            </w:r>
            <w:r w:rsidR="00B7670D" w:rsidRPr="008048D3">
              <w:rPr>
                <w:rFonts w:ascii="Verdana" w:hAnsi="Verdana" w:cs="Arial"/>
                <w:sz w:val="16"/>
                <w:szCs w:val="16"/>
                <w:lang w:val="lt-LT"/>
              </w:rPr>
              <w:t>ų</w:t>
            </w:r>
            <w:r w:rsidR="00371FCB" w:rsidRPr="008048D3">
              <w:rPr>
                <w:rFonts w:ascii="Verdana" w:hAnsi="Verdana" w:cs="Arial"/>
                <w:sz w:val="16"/>
                <w:szCs w:val="16"/>
                <w:lang w:val="lt-LT"/>
              </w:rPr>
              <w:t xml:space="preserve"> neplanuojama</w:t>
            </w:r>
            <w:r w:rsidR="004527F3" w:rsidRPr="008048D3">
              <w:rPr>
                <w:rFonts w:ascii="Verdana" w:hAnsi="Verdana" w:cs="Arial"/>
                <w:sz w:val="16"/>
                <w:szCs w:val="16"/>
                <w:lang w:val="lt-LT"/>
              </w:rPr>
              <w:t xml:space="preserve">. </w:t>
            </w:r>
            <w:r w:rsidR="00371FCB" w:rsidRPr="008048D3">
              <w:rPr>
                <w:rFonts w:ascii="Verdana" w:hAnsi="Verdana" w:cs="Arial"/>
                <w:sz w:val="16"/>
                <w:szCs w:val="16"/>
                <w:lang w:val="lt-LT"/>
              </w:rPr>
              <w:t>2017 m. Grupės žemės ūkio dukterinėms įmonėms visiškai perėjus prie ekologinio ūkininkavimo, jos galės parūpinti pakankamai ekologiškų šiaudų grybų auginimui</w:t>
            </w:r>
            <w:r w:rsidR="004527F3" w:rsidRPr="008048D3">
              <w:rPr>
                <w:rFonts w:ascii="Verdana" w:hAnsi="Verdana" w:cs="Arial"/>
                <w:sz w:val="16"/>
                <w:szCs w:val="16"/>
                <w:lang w:val="lt-LT"/>
              </w:rPr>
              <w:t xml:space="preserve">, </w:t>
            </w:r>
            <w:r w:rsidR="00371FCB" w:rsidRPr="008048D3">
              <w:rPr>
                <w:rFonts w:ascii="Verdana" w:hAnsi="Verdana" w:cs="Arial"/>
                <w:sz w:val="16"/>
                <w:szCs w:val="16"/>
                <w:lang w:val="lt-LT"/>
              </w:rPr>
              <w:t>kas praeityje iš esmės lėmė mažesnes ekologiškų grybų auginimo apimtis</w:t>
            </w:r>
            <w:r w:rsidR="004527F3" w:rsidRPr="008048D3">
              <w:rPr>
                <w:rFonts w:ascii="Verdana" w:hAnsi="Verdana" w:cs="Arial"/>
                <w:sz w:val="16"/>
                <w:szCs w:val="16"/>
                <w:lang w:val="lt-LT"/>
              </w:rPr>
              <w:t>. T</w:t>
            </w:r>
            <w:r w:rsidR="00371FCB" w:rsidRPr="008048D3">
              <w:rPr>
                <w:rFonts w:ascii="Verdana" w:hAnsi="Verdana" w:cs="Arial"/>
                <w:sz w:val="16"/>
                <w:szCs w:val="16"/>
                <w:lang w:val="lt-LT"/>
              </w:rPr>
              <w:t xml:space="preserve">odėl </w:t>
            </w:r>
            <w:r w:rsidR="004527F3" w:rsidRPr="008048D3">
              <w:rPr>
                <w:rFonts w:ascii="Verdana" w:hAnsi="Verdana" w:cs="Arial"/>
                <w:sz w:val="16"/>
                <w:szCs w:val="16"/>
                <w:lang w:val="lt-LT"/>
              </w:rPr>
              <w:t>Grup</w:t>
            </w:r>
            <w:r w:rsidR="00371FCB" w:rsidRPr="008048D3">
              <w:rPr>
                <w:rFonts w:ascii="Verdana" w:hAnsi="Verdana" w:cs="Arial"/>
                <w:sz w:val="16"/>
                <w:szCs w:val="16"/>
                <w:lang w:val="lt-LT"/>
              </w:rPr>
              <w:t>ė</w:t>
            </w:r>
            <w:r w:rsidR="004527F3" w:rsidRPr="008048D3">
              <w:rPr>
                <w:rFonts w:ascii="Verdana" w:hAnsi="Verdana" w:cs="Arial"/>
                <w:sz w:val="16"/>
                <w:szCs w:val="16"/>
                <w:lang w:val="lt-LT"/>
              </w:rPr>
              <w:t xml:space="preserve"> </w:t>
            </w:r>
            <w:r w:rsidR="00371FCB" w:rsidRPr="008048D3">
              <w:rPr>
                <w:rFonts w:ascii="Verdana" w:hAnsi="Verdana" w:cs="Arial"/>
                <w:sz w:val="16"/>
                <w:szCs w:val="16"/>
                <w:lang w:val="lt-LT"/>
              </w:rPr>
              <w:t>tikisi padidinti ekologiškų grybų auginimo dalį ir pradėti šį produktą siūlyti naujose pardavimo rinkose</w:t>
            </w:r>
            <w:r w:rsidR="004527F3" w:rsidRPr="008048D3">
              <w:rPr>
                <w:rFonts w:ascii="Verdana" w:hAnsi="Verdana" w:cs="Arial"/>
                <w:sz w:val="16"/>
                <w:szCs w:val="16"/>
                <w:lang w:val="lt-LT"/>
              </w:rPr>
              <w:t>.</w:t>
            </w:r>
            <w:r w:rsidR="00CA4E7A" w:rsidRPr="008048D3">
              <w:rPr>
                <w:rFonts w:ascii="Verdana" w:hAnsi="Verdana" w:cstheme="minorHAnsi"/>
                <w:sz w:val="16"/>
                <w:szCs w:val="16"/>
                <w:lang w:val="lt-LT"/>
              </w:rPr>
              <w:t xml:space="preserve"> </w:t>
            </w:r>
          </w:p>
        </w:tc>
      </w:tr>
      <w:tr w:rsidR="008F65F5" w:rsidRPr="00CD3453" w14:paraId="302FE0D8" w14:textId="77777777" w:rsidTr="00CA53A5">
        <w:trPr>
          <w:trHeight w:val="416"/>
        </w:trPr>
        <w:tc>
          <w:tcPr>
            <w:tcW w:w="288" w:type="pct"/>
          </w:tcPr>
          <w:p w14:paraId="527D1E93"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B.5</w:t>
            </w:r>
          </w:p>
        </w:tc>
        <w:tc>
          <w:tcPr>
            <w:tcW w:w="621" w:type="pct"/>
            <w:gridSpan w:val="2"/>
          </w:tcPr>
          <w:p w14:paraId="2A7BDC55" w14:textId="625E727A" w:rsidR="008F65F5" w:rsidRPr="008048D3" w:rsidRDefault="004B158D" w:rsidP="008F65F5">
            <w:pPr>
              <w:spacing w:after="40"/>
              <w:rPr>
                <w:rFonts w:ascii="Verdana" w:hAnsi="Verdana" w:cs="Arial"/>
                <w:sz w:val="16"/>
                <w:szCs w:val="16"/>
                <w:lang w:val="lt-LT"/>
              </w:rPr>
            </w:pPr>
            <w:r w:rsidRPr="008048D3">
              <w:rPr>
                <w:rFonts w:ascii="Verdana" w:hAnsi="Verdana" w:cs="Arial"/>
                <w:sz w:val="16"/>
                <w:szCs w:val="16"/>
                <w:lang w:val="lt-LT"/>
              </w:rPr>
              <w:t xml:space="preserve">Grupės apibūdinimas. Bendrovės padėtis Grupėje </w:t>
            </w:r>
          </w:p>
        </w:tc>
        <w:tc>
          <w:tcPr>
            <w:tcW w:w="4091" w:type="pct"/>
          </w:tcPr>
          <w:p w14:paraId="10BE09E5" w14:textId="30765A5A" w:rsidR="00517CD9" w:rsidRPr="008048D3" w:rsidRDefault="008226DC" w:rsidP="00517CD9">
            <w:pPr>
              <w:jc w:val="both"/>
              <w:rPr>
                <w:rFonts w:ascii="Verdana" w:hAnsi="Verdana"/>
                <w:sz w:val="16"/>
                <w:szCs w:val="16"/>
                <w:lang w:val="lt-LT"/>
              </w:rPr>
            </w:pPr>
            <w:r w:rsidRPr="008048D3">
              <w:rPr>
                <w:rFonts w:ascii="Verdana" w:hAnsi="Verdana"/>
                <w:sz w:val="16"/>
                <w:szCs w:val="16"/>
                <w:lang w:val="lt-LT"/>
              </w:rPr>
              <w:t>Bendrovė yra Grupės kontroliuojančioji bendrovė</w:t>
            </w:r>
            <w:r w:rsidR="00517CD9" w:rsidRPr="008048D3">
              <w:rPr>
                <w:rFonts w:ascii="Verdana" w:hAnsi="Verdana"/>
                <w:sz w:val="16"/>
                <w:szCs w:val="16"/>
                <w:lang w:val="lt-LT"/>
              </w:rPr>
              <w:t xml:space="preserve">. </w:t>
            </w:r>
            <w:r w:rsidRPr="008048D3">
              <w:rPr>
                <w:rFonts w:ascii="Verdana" w:hAnsi="Verdana"/>
                <w:sz w:val="16"/>
                <w:szCs w:val="16"/>
                <w:lang w:val="lt-LT"/>
              </w:rPr>
              <w:t xml:space="preserve">Šio Prospekto sudarymo dieną </w:t>
            </w:r>
            <w:r w:rsidR="00517CD9" w:rsidRPr="008048D3">
              <w:rPr>
                <w:rFonts w:ascii="Verdana" w:hAnsi="Verdana"/>
                <w:sz w:val="16"/>
                <w:szCs w:val="16"/>
                <w:lang w:val="lt-LT"/>
              </w:rPr>
              <w:t>Grup</w:t>
            </w:r>
            <w:r w:rsidRPr="008048D3">
              <w:rPr>
                <w:rFonts w:ascii="Verdana" w:hAnsi="Verdana"/>
                <w:sz w:val="16"/>
                <w:szCs w:val="16"/>
                <w:lang w:val="lt-LT"/>
              </w:rPr>
              <w:t xml:space="preserve">ė kontroliavo </w:t>
            </w:r>
            <w:r w:rsidR="00517CD9" w:rsidRPr="008048D3">
              <w:rPr>
                <w:rFonts w:ascii="Verdana" w:hAnsi="Verdana"/>
                <w:sz w:val="16"/>
                <w:szCs w:val="16"/>
                <w:lang w:val="lt-LT"/>
              </w:rPr>
              <w:t xml:space="preserve">135 </w:t>
            </w:r>
            <w:r w:rsidRPr="008048D3">
              <w:rPr>
                <w:rFonts w:ascii="Verdana" w:hAnsi="Verdana"/>
                <w:sz w:val="16"/>
                <w:szCs w:val="16"/>
                <w:lang w:val="lt-LT"/>
              </w:rPr>
              <w:t>Dukterines įmones</w:t>
            </w:r>
            <w:r w:rsidR="00517CD9" w:rsidRPr="008048D3">
              <w:rPr>
                <w:rFonts w:ascii="Verdana" w:hAnsi="Verdana"/>
                <w:sz w:val="16"/>
                <w:szCs w:val="16"/>
                <w:lang w:val="lt-LT"/>
              </w:rPr>
              <w:t xml:space="preserve">: </w:t>
            </w:r>
            <w:r w:rsidRPr="008048D3">
              <w:rPr>
                <w:rFonts w:ascii="Verdana" w:hAnsi="Verdana"/>
                <w:sz w:val="16"/>
                <w:szCs w:val="16"/>
                <w:lang w:val="lt-LT"/>
              </w:rPr>
              <w:t xml:space="preserve">iš kurių </w:t>
            </w:r>
            <w:r w:rsidR="00517CD9" w:rsidRPr="008048D3">
              <w:rPr>
                <w:rFonts w:ascii="Verdana" w:hAnsi="Verdana"/>
                <w:sz w:val="16"/>
                <w:szCs w:val="16"/>
                <w:lang w:val="lt-LT"/>
              </w:rPr>
              <w:t xml:space="preserve">67 </w:t>
            </w:r>
            <w:r w:rsidRPr="008048D3">
              <w:rPr>
                <w:rFonts w:ascii="Verdana" w:hAnsi="Verdana"/>
                <w:sz w:val="16"/>
                <w:szCs w:val="16"/>
                <w:lang w:val="lt-LT"/>
              </w:rPr>
              <w:t xml:space="preserve">yra žemės ūkio bendrovės, o likusios </w:t>
            </w:r>
            <w:r w:rsidR="007A3356" w:rsidRPr="008048D3">
              <w:rPr>
                <w:rFonts w:ascii="Verdana" w:hAnsi="Verdana"/>
                <w:sz w:val="16"/>
                <w:szCs w:val="16"/>
                <w:lang w:val="lt-LT"/>
              </w:rPr>
              <w:t xml:space="preserve">yra </w:t>
            </w:r>
            <w:r w:rsidRPr="008048D3">
              <w:rPr>
                <w:rFonts w:ascii="Verdana" w:hAnsi="Verdana"/>
                <w:sz w:val="16"/>
                <w:szCs w:val="16"/>
                <w:lang w:val="lt-LT"/>
              </w:rPr>
              <w:t>atsak</w:t>
            </w:r>
            <w:r w:rsidR="007A3356" w:rsidRPr="008048D3">
              <w:rPr>
                <w:rFonts w:ascii="Verdana" w:hAnsi="Verdana"/>
                <w:sz w:val="16"/>
                <w:szCs w:val="16"/>
                <w:lang w:val="lt-LT"/>
              </w:rPr>
              <w:t>ingos</w:t>
            </w:r>
            <w:r w:rsidRPr="008048D3">
              <w:rPr>
                <w:rFonts w:ascii="Verdana" w:hAnsi="Verdana"/>
                <w:sz w:val="16"/>
                <w:szCs w:val="16"/>
                <w:lang w:val="lt-LT"/>
              </w:rPr>
              <w:t xml:space="preserve"> už žemės įsigijimą</w:t>
            </w:r>
            <w:r w:rsidR="00517CD9" w:rsidRPr="008048D3">
              <w:rPr>
                <w:rFonts w:ascii="Verdana" w:hAnsi="Verdana"/>
                <w:sz w:val="16"/>
                <w:szCs w:val="16"/>
                <w:lang w:val="lt-LT"/>
              </w:rPr>
              <w:t xml:space="preserve">, </w:t>
            </w:r>
            <w:r w:rsidRPr="008048D3">
              <w:rPr>
                <w:rFonts w:ascii="Verdana" w:hAnsi="Verdana"/>
                <w:sz w:val="16"/>
                <w:szCs w:val="16"/>
                <w:lang w:val="lt-LT"/>
              </w:rPr>
              <w:t>nuomą</w:t>
            </w:r>
            <w:r w:rsidR="00517CD9" w:rsidRPr="008048D3">
              <w:rPr>
                <w:rFonts w:ascii="Verdana" w:hAnsi="Verdana"/>
                <w:sz w:val="16"/>
                <w:szCs w:val="16"/>
                <w:lang w:val="lt-LT"/>
              </w:rPr>
              <w:t xml:space="preserve">, </w:t>
            </w:r>
            <w:r w:rsidRPr="008048D3">
              <w:rPr>
                <w:rFonts w:ascii="Verdana" w:hAnsi="Verdana"/>
                <w:sz w:val="16"/>
                <w:szCs w:val="16"/>
                <w:lang w:val="lt-LT"/>
              </w:rPr>
              <w:t>valdymą ir kitą veiklą</w:t>
            </w:r>
            <w:r w:rsidR="00517CD9" w:rsidRPr="008048D3">
              <w:rPr>
                <w:rFonts w:ascii="Verdana" w:hAnsi="Verdana"/>
                <w:sz w:val="16"/>
                <w:szCs w:val="16"/>
                <w:lang w:val="lt-LT"/>
              </w:rPr>
              <w:t xml:space="preserve">. </w:t>
            </w:r>
          </w:p>
          <w:p w14:paraId="6CC0815E" w14:textId="77777777" w:rsidR="00DA177D" w:rsidRPr="008048D3" w:rsidRDefault="00DA177D" w:rsidP="00B93956">
            <w:pPr>
              <w:jc w:val="both"/>
              <w:rPr>
                <w:rFonts w:ascii="Verdana" w:hAnsi="Verdana" w:cs="Arial"/>
                <w:sz w:val="16"/>
                <w:szCs w:val="16"/>
                <w:lang w:val="lt-LT"/>
              </w:rPr>
            </w:pPr>
          </w:p>
        </w:tc>
      </w:tr>
      <w:tr w:rsidR="008F65F5" w:rsidRPr="00CD3453" w14:paraId="16FAA94F" w14:textId="77777777" w:rsidTr="00CA53A5">
        <w:tc>
          <w:tcPr>
            <w:tcW w:w="288" w:type="pct"/>
          </w:tcPr>
          <w:p w14:paraId="37D19550"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B.6</w:t>
            </w:r>
          </w:p>
        </w:tc>
        <w:tc>
          <w:tcPr>
            <w:tcW w:w="621" w:type="pct"/>
            <w:gridSpan w:val="2"/>
          </w:tcPr>
          <w:p w14:paraId="22CE644C" w14:textId="77777777" w:rsidR="004B158D" w:rsidRPr="008048D3" w:rsidRDefault="004B158D" w:rsidP="008F65F5">
            <w:pPr>
              <w:spacing w:after="40"/>
              <w:rPr>
                <w:rFonts w:ascii="Verdana" w:hAnsi="Verdana" w:cs="Arial"/>
                <w:sz w:val="16"/>
                <w:szCs w:val="16"/>
                <w:lang w:val="lt-LT"/>
              </w:rPr>
            </w:pPr>
            <w:r w:rsidRPr="008048D3">
              <w:rPr>
                <w:rFonts w:ascii="Verdana" w:hAnsi="Verdana" w:cs="Arial"/>
                <w:sz w:val="16"/>
                <w:szCs w:val="16"/>
                <w:lang w:val="lt-LT"/>
              </w:rPr>
              <w:t xml:space="preserve">Asmenys, tiesiogiai ar netiesiogiai turintys Bendrovės kapitalo dalį arba balsavimo teisių dalį, apie kurią reikia pranešti pagal Lietuvos įstatymus, </w:t>
            </w:r>
            <w:r w:rsidRPr="008048D3">
              <w:rPr>
                <w:rFonts w:ascii="Verdana" w:hAnsi="Verdana" w:cs="Arial"/>
                <w:sz w:val="16"/>
                <w:szCs w:val="16"/>
                <w:lang w:val="lt-LT"/>
              </w:rPr>
              <w:lastRenderedPageBreak/>
              <w:t>ir tokios dalies dydis. Pagrindinių akcininkų balsavimo teisės. Bendrovės tiesioginė arba netiesioginė kontrolė.</w:t>
            </w:r>
          </w:p>
          <w:p w14:paraId="59C7EA46" w14:textId="4D1CB700" w:rsidR="008F65F5" w:rsidRPr="008048D3" w:rsidRDefault="008F65F5" w:rsidP="008F65F5">
            <w:pPr>
              <w:spacing w:after="40"/>
              <w:rPr>
                <w:rFonts w:ascii="Verdana" w:hAnsi="Verdana" w:cs="Arial"/>
                <w:sz w:val="16"/>
                <w:szCs w:val="16"/>
                <w:lang w:val="lt-LT"/>
              </w:rPr>
            </w:pPr>
          </w:p>
        </w:tc>
        <w:tc>
          <w:tcPr>
            <w:tcW w:w="4091" w:type="pct"/>
          </w:tcPr>
          <w:p w14:paraId="4583635E" w14:textId="1C54F60E" w:rsidR="006979BC" w:rsidRPr="008048D3" w:rsidRDefault="00132F65" w:rsidP="006979BC">
            <w:pPr>
              <w:tabs>
                <w:tab w:val="left" w:pos="991"/>
                <w:tab w:val="left" w:pos="7848"/>
              </w:tabs>
              <w:ind w:right="-32"/>
              <w:jc w:val="both"/>
              <w:rPr>
                <w:rFonts w:ascii="Verdana" w:hAnsi="Verdana"/>
                <w:sz w:val="16"/>
                <w:szCs w:val="16"/>
                <w:lang w:val="lt-LT"/>
              </w:rPr>
            </w:pPr>
            <w:r w:rsidRPr="008048D3">
              <w:rPr>
                <w:rFonts w:ascii="Verdana" w:hAnsi="Verdana"/>
                <w:sz w:val="16"/>
                <w:szCs w:val="16"/>
                <w:lang w:val="lt-LT"/>
              </w:rPr>
              <w:lastRenderedPageBreak/>
              <w:t xml:space="preserve">Emitento Stambiųjų akcininkų </w:t>
            </w:r>
            <w:r w:rsidR="003F6CAE" w:rsidRPr="008048D3">
              <w:rPr>
                <w:rFonts w:ascii="Verdana" w:hAnsi="Verdana"/>
                <w:sz w:val="16"/>
                <w:szCs w:val="16"/>
                <w:lang w:val="lt-LT"/>
              </w:rPr>
              <w:t xml:space="preserve">(toliau – </w:t>
            </w:r>
            <w:r w:rsidR="003F6CAE" w:rsidRPr="008048D3">
              <w:rPr>
                <w:rFonts w:ascii="Verdana" w:hAnsi="Verdana"/>
                <w:b/>
                <w:sz w:val="16"/>
                <w:szCs w:val="16"/>
                <w:lang w:val="lt-LT"/>
              </w:rPr>
              <w:t>Stambieji akcininkai</w:t>
            </w:r>
            <w:r w:rsidR="003F6CAE" w:rsidRPr="008048D3">
              <w:rPr>
                <w:rFonts w:ascii="Verdana" w:hAnsi="Verdana"/>
                <w:sz w:val="16"/>
                <w:szCs w:val="16"/>
                <w:lang w:val="lt-LT"/>
              </w:rPr>
              <w:t xml:space="preserve">) </w:t>
            </w:r>
            <w:r w:rsidRPr="008048D3">
              <w:rPr>
                <w:rFonts w:ascii="Verdana" w:hAnsi="Verdana"/>
                <w:sz w:val="16"/>
                <w:szCs w:val="16"/>
                <w:lang w:val="lt-LT"/>
              </w:rPr>
              <w:t>valdomi paketai šio Prospekto sudarymo dieną nurodyti toliau</w:t>
            </w:r>
            <w:r w:rsidR="006979BC" w:rsidRPr="008048D3">
              <w:rPr>
                <w:rFonts w:ascii="Verdana" w:hAnsi="Verdana"/>
                <w:sz w:val="16"/>
                <w:szCs w:val="16"/>
                <w:lang w:val="lt-LT"/>
              </w:rPr>
              <w:t>:</w:t>
            </w:r>
          </w:p>
          <w:p w14:paraId="5171717A" w14:textId="6986B7B7" w:rsidR="006979BC" w:rsidRPr="008048D3" w:rsidRDefault="006979BC" w:rsidP="00690D55">
            <w:pPr>
              <w:pStyle w:val="Caption"/>
              <w:keepNext/>
              <w:rPr>
                <w:rFonts w:ascii="Verdana" w:hAnsi="Verdana"/>
                <w:sz w:val="16"/>
                <w:lang w:val="lt-LT"/>
              </w:rPr>
            </w:pPr>
          </w:p>
          <w:tbl>
            <w:tblPr>
              <w:tblW w:w="7187" w:type="dxa"/>
              <w:tblLayout w:type="fixed"/>
              <w:tblLook w:val="04A0" w:firstRow="1" w:lastRow="0" w:firstColumn="1" w:lastColumn="0" w:noHBand="0" w:noVBand="1"/>
            </w:tblPr>
            <w:tblGrid>
              <w:gridCol w:w="3056"/>
              <w:gridCol w:w="2050"/>
              <w:gridCol w:w="2081"/>
            </w:tblGrid>
            <w:tr w:rsidR="00313954" w:rsidRPr="008048D3" w14:paraId="21880E1A" w14:textId="77777777" w:rsidTr="00647C13">
              <w:trPr>
                <w:trHeight w:val="799"/>
                <w:tblHeader/>
              </w:trPr>
              <w:tc>
                <w:tcPr>
                  <w:tcW w:w="2126" w:type="pct"/>
                  <w:tcBorders>
                    <w:top w:val="single" w:sz="12" w:space="0" w:color="auto"/>
                    <w:left w:val="single" w:sz="4" w:space="0" w:color="A6A6A6"/>
                    <w:bottom w:val="double" w:sz="4" w:space="0" w:color="auto"/>
                    <w:right w:val="single" w:sz="6" w:space="0" w:color="FFFFFF"/>
                  </w:tcBorders>
                  <w:shd w:val="clear" w:color="auto" w:fill="D9D9D9" w:themeFill="background1" w:themeFillShade="D9"/>
                  <w:vAlign w:val="center"/>
                </w:tcPr>
                <w:p w14:paraId="081B3D06" w14:textId="3CFB025D" w:rsidR="006979BC" w:rsidRPr="008048D3" w:rsidRDefault="00132F65" w:rsidP="00690D55">
                  <w:pPr>
                    <w:jc w:val="both"/>
                    <w:rPr>
                      <w:rFonts w:ascii="Verdana" w:hAnsi="Verdana" w:cs="Calibri"/>
                      <w:i/>
                      <w:iCs/>
                      <w:sz w:val="16"/>
                      <w:szCs w:val="16"/>
                      <w:lang w:val="lt-LT"/>
                    </w:rPr>
                  </w:pPr>
                  <w:r w:rsidRPr="008048D3">
                    <w:rPr>
                      <w:rFonts w:ascii="Verdana" w:hAnsi="Verdana" w:cs="Calibri"/>
                      <w:i/>
                      <w:iCs/>
                      <w:sz w:val="16"/>
                      <w:szCs w:val="16"/>
                      <w:lang w:val="lt-LT"/>
                    </w:rPr>
                    <w:t xml:space="preserve">Įmonės pavadinimas </w:t>
                  </w:r>
                </w:p>
              </w:tc>
              <w:tc>
                <w:tcPr>
                  <w:tcW w:w="1426" w:type="pct"/>
                  <w:tcBorders>
                    <w:top w:val="single" w:sz="12" w:space="0" w:color="auto"/>
                    <w:left w:val="single" w:sz="6" w:space="0" w:color="FFFFFF"/>
                    <w:bottom w:val="double" w:sz="4" w:space="0" w:color="auto"/>
                    <w:right w:val="single" w:sz="6" w:space="0" w:color="FFFFFF"/>
                  </w:tcBorders>
                  <w:shd w:val="clear" w:color="auto" w:fill="D9D9D9" w:themeFill="background1" w:themeFillShade="D9"/>
                  <w:vAlign w:val="center"/>
                </w:tcPr>
                <w:p w14:paraId="687E24E9" w14:textId="1C8D0E5E" w:rsidR="006979BC" w:rsidRPr="008048D3" w:rsidRDefault="00132F65" w:rsidP="00690D55">
                  <w:pPr>
                    <w:jc w:val="both"/>
                    <w:rPr>
                      <w:rFonts w:ascii="Verdana" w:hAnsi="Verdana" w:cs="Calibri"/>
                      <w:i/>
                      <w:iCs/>
                      <w:sz w:val="16"/>
                      <w:szCs w:val="16"/>
                      <w:lang w:val="lt-LT"/>
                    </w:rPr>
                  </w:pPr>
                  <w:r w:rsidRPr="008048D3">
                    <w:rPr>
                      <w:rFonts w:ascii="Verdana" w:hAnsi="Verdana" w:cs="Calibri"/>
                      <w:i/>
                      <w:iCs/>
                      <w:sz w:val="16"/>
                      <w:szCs w:val="16"/>
                      <w:lang w:val="lt-LT"/>
                    </w:rPr>
                    <w:t>Akcininko turimų Akcijų ir balsų skaičius</w:t>
                  </w:r>
                  <w:r w:rsidR="006979BC" w:rsidRPr="008048D3">
                    <w:rPr>
                      <w:rFonts w:ascii="Verdana" w:hAnsi="Verdana" w:cs="Calibri"/>
                      <w:i/>
                      <w:iCs/>
                      <w:sz w:val="16"/>
                      <w:szCs w:val="16"/>
                      <w:lang w:val="lt-LT"/>
                    </w:rPr>
                    <w:t xml:space="preserve">, </w:t>
                  </w:r>
                  <w:r w:rsidRPr="008048D3">
                    <w:rPr>
                      <w:rFonts w:ascii="Verdana" w:hAnsi="Verdana" w:cs="Calibri"/>
                      <w:i/>
                      <w:iCs/>
                      <w:sz w:val="16"/>
                      <w:szCs w:val="16"/>
                      <w:lang w:val="lt-LT"/>
                    </w:rPr>
                    <w:t>vnt.</w:t>
                  </w:r>
                </w:p>
              </w:tc>
              <w:tc>
                <w:tcPr>
                  <w:tcW w:w="1448" w:type="pct"/>
                  <w:tcBorders>
                    <w:top w:val="single" w:sz="12" w:space="0" w:color="auto"/>
                    <w:left w:val="single" w:sz="6" w:space="0" w:color="FFFFFF"/>
                    <w:bottom w:val="double" w:sz="4" w:space="0" w:color="auto"/>
                    <w:right w:val="single" w:sz="4" w:space="0" w:color="A6A6A6"/>
                  </w:tcBorders>
                  <w:shd w:val="clear" w:color="auto" w:fill="D9D9D9" w:themeFill="background1" w:themeFillShade="D9"/>
                  <w:vAlign w:val="center"/>
                </w:tcPr>
                <w:p w14:paraId="4A5AF182" w14:textId="093C02DB" w:rsidR="006979BC" w:rsidRPr="008048D3" w:rsidRDefault="00132F65" w:rsidP="00690D55">
                  <w:pPr>
                    <w:jc w:val="both"/>
                    <w:rPr>
                      <w:rFonts w:ascii="Verdana" w:hAnsi="Verdana" w:cs="Calibri"/>
                      <w:i/>
                      <w:iCs/>
                      <w:sz w:val="16"/>
                      <w:szCs w:val="16"/>
                      <w:lang w:val="lt-LT"/>
                    </w:rPr>
                  </w:pPr>
                  <w:r w:rsidRPr="008048D3">
                    <w:rPr>
                      <w:rFonts w:ascii="Verdana" w:hAnsi="Verdana" w:cs="Calibri"/>
                      <w:i/>
                      <w:iCs/>
                      <w:sz w:val="16"/>
                      <w:szCs w:val="16"/>
                      <w:lang w:val="lt-LT"/>
                    </w:rPr>
                    <w:t>Akcininko turimos Akcijos ir balsai</w:t>
                  </w:r>
                  <w:r w:rsidR="006979BC" w:rsidRPr="008048D3">
                    <w:rPr>
                      <w:rFonts w:ascii="Verdana" w:hAnsi="Verdana" w:cs="Calibri"/>
                      <w:i/>
                      <w:iCs/>
                      <w:sz w:val="16"/>
                      <w:szCs w:val="16"/>
                      <w:lang w:val="lt-LT"/>
                    </w:rPr>
                    <w:t>, %</w:t>
                  </w:r>
                </w:p>
              </w:tc>
            </w:tr>
            <w:tr w:rsidR="006979BC" w:rsidRPr="008048D3" w14:paraId="04A5CFE6" w14:textId="77777777" w:rsidTr="00647C13">
              <w:trPr>
                <w:trHeight w:val="432"/>
              </w:trPr>
              <w:tc>
                <w:tcPr>
                  <w:tcW w:w="2126" w:type="pct"/>
                  <w:tcBorders>
                    <w:top w:val="double" w:sz="4" w:space="0" w:color="auto"/>
                    <w:left w:val="single" w:sz="4" w:space="0" w:color="A6A6A6"/>
                    <w:bottom w:val="single" w:sz="4" w:space="0" w:color="A6A6A6"/>
                    <w:right w:val="single" w:sz="4" w:space="0" w:color="A6A6A6"/>
                  </w:tcBorders>
                  <w:shd w:val="clear" w:color="auto" w:fill="auto"/>
                  <w:noWrap/>
                  <w:vAlign w:val="center"/>
                </w:tcPr>
                <w:p w14:paraId="195E39B8" w14:textId="2015F5AD" w:rsidR="006979BC" w:rsidRPr="008048D3" w:rsidRDefault="006979BC" w:rsidP="006979BC">
                  <w:pPr>
                    <w:jc w:val="both"/>
                    <w:rPr>
                      <w:rFonts w:ascii="Verdana" w:hAnsi="Verdana" w:cs="Calibri"/>
                      <w:sz w:val="16"/>
                      <w:szCs w:val="16"/>
                      <w:lang w:val="lt-LT"/>
                    </w:rPr>
                  </w:pPr>
                  <w:r w:rsidRPr="008048D3">
                    <w:rPr>
                      <w:rFonts w:ascii="Verdana" w:hAnsi="Verdana" w:cs="Calibri"/>
                      <w:sz w:val="16"/>
                      <w:szCs w:val="16"/>
                      <w:lang w:val="lt-LT"/>
                    </w:rPr>
                    <w:t>Baltic Champs Group</w:t>
                  </w:r>
                  <w:r w:rsidR="00C5300E" w:rsidRPr="008048D3">
                    <w:rPr>
                      <w:rFonts w:ascii="Verdana" w:hAnsi="Verdana" w:cs="Calibri"/>
                      <w:sz w:val="16"/>
                      <w:szCs w:val="16"/>
                      <w:lang w:val="lt-LT"/>
                    </w:rPr>
                    <w:t>,</w:t>
                  </w:r>
                  <w:r w:rsidRPr="008048D3">
                    <w:rPr>
                      <w:rFonts w:ascii="Verdana" w:hAnsi="Verdana" w:cs="Calibri"/>
                      <w:sz w:val="16"/>
                      <w:szCs w:val="16"/>
                      <w:lang w:val="lt-LT"/>
                    </w:rPr>
                    <w:t xml:space="preserve"> UAB</w:t>
                  </w:r>
                </w:p>
              </w:tc>
              <w:tc>
                <w:tcPr>
                  <w:tcW w:w="1426" w:type="pct"/>
                  <w:tcBorders>
                    <w:top w:val="double" w:sz="4" w:space="0" w:color="auto"/>
                    <w:left w:val="nil"/>
                    <w:bottom w:val="single" w:sz="4" w:space="0" w:color="A6A6A6"/>
                    <w:right w:val="single" w:sz="4" w:space="0" w:color="A6A6A6"/>
                  </w:tcBorders>
                  <w:shd w:val="clear" w:color="auto" w:fill="auto"/>
                  <w:noWrap/>
                  <w:vAlign w:val="center"/>
                </w:tcPr>
                <w:p w14:paraId="0024BA8F" w14:textId="13F43062" w:rsidR="006979BC" w:rsidRPr="008048D3" w:rsidRDefault="006979BC" w:rsidP="006979BC">
                  <w:pPr>
                    <w:jc w:val="right"/>
                    <w:rPr>
                      <w:rFonts w:ascii="Verdana" w:hAnsi="Verdana" w:cs="Calibri"/>
                      <w:sz w:val="16"/>
                      <w:szCs w:val="16"/>
                      <w:lang w:val="lt-LT"/>
                    </w:rPr>
                  </w:pPr>
                  <w:r w:rsidRPr="008048D3">
                    <w:rPr>
                      <w:rFonts w:ascii="Verdana" w:hAnsi="Verdana" w:cs="Calibri"/>
                      <w:sz w:val="16"/>
                      <w:szCs w:val="16"/>
                      <w:lang w:val="lt-LT"/>
                    </w:rPr>
                    <w:t>165</w:t>
                  </w:r>
                  <w:r w:rsidR="00132F65" w:rsidRPr="008048D3">
                    <w:rPr>
                      <w:rFonts w:ascii="Verdana" w:hAnsi="Verdana" w:cs="Calibri"/>
                      <w:sz w:val="16"/>
                      <w:szCs w:val="16"/>
                      <w:lang w:val="lt-LT"/>
                    </w:rPr>
                    <w:t> </w:t>
                  </w:r>
                  <w:r w:rsidRPr="008048D3">
                    <w:rPr>
                      <w:rFonts w:ascii="Verdana" w:hAnsi="Verdana" w:cs="Calibri"/>
                      <w:sz w:val="16"/>
                      <w:szCs w:val="16"/>
                      <w:lang w:val="lt-LT"/>
                    </w:rPr>
                    <w:t>16</w:t>
                  </w:r>
                  <w:r w:rsidR="002F6036" w:rsidRPr="008048D3">
                    <w:rPr>
                      <w:rFonts w:ascii="Verdana" w:hAnsi="Verdana" w:cs="Calibri"/>
                      <w:sz w:val="16"/>
                      <w:szCs w:val="16"/>
                      <w:lang w:val="lt-LT"/>
                    </w:rPr>
                    <w:t>7</w:t>
                  </w:r>
                  <w:r w:rsidR="00132F65" w:rsidRPr="008048D3">
                    <w:rPr>
                      <w:rFonts w:ascii="Verdana" w:hAnsi="Verdana" w:cs="Calibri"/>
                      <w:sz w:val="16"/>
                      <w:szCs w:val="16"/>
                      <w:lang w:val="lt-LT"/>
                    </w:rPr>
                    <w:t xml:space="preserve"> </w:t>
                  </w:r>
                  <w:r w:rsidRPr="008048D3">
                    <w:rPr>
                      <w:rFonts w:ascii="Verdana" w:hAnsi="Verdana" w:cs="Calibri"/>
                      <w:sz w:val="16"/>
                      <w:szCs w:val="16"/>
                      <w:lang w:val="lt-LT"/>
                    </w:rPr>
                    <w:t>93</w:t>
                  </w:r>
                  <w:r w:rsidR="002F6036" w:rsidRPr="008048D3">
                    <w:rPr>
                      <w:rFonts w:ascii="Verdana" w:hAnsi="Verdana" w:cs="Calibri"/>
                      <w:sz w:val="16"/>
                      <w:szCs w:val="16"/>
                      <w:lang w:val="lt-LT"/>
                    </w:rPr>
                    <w:t>9</w:t>
                  </w:r>
                  <w:r w:rsidRPr="008048D3">
                    <w:rPr>
                      <w:rFonts w:ascii="Verdana" w:hAnsi="Verdana" w:cs="Calibri"/>
                      <w:sz w:val="16"/>
                      <w:szCs w:val="16"/>
                      <w:lang w:val="lt-LT"/>
                    </w:rPr>
                    <w:t xml:space="preserve">   </w:t>
                  </w:r>
                </w:p>
              </w:tc>
              <w:tc>
                <w:tcPr>
                  <w:tcW w:w="1448" w:type="pct"/>
                  <w:tcBorders>
                    <w:top w:val="double" w:sz="4" w:space="0" w:color="auto"/>
                    <w:left w:val="nil"/>
                    <w:bottom w:val="single" w:sz="4" w:space="0" w:color="A6A6A6"/>
                    <w:right w:val="single" w:sz="4" w:space="0" w:color="A6A6A6"/>
                  </w:tcBorders>
                  <w:shd w:val="clear" w:color="auto" w:fill="auto"/>
                  <w:noWrap/>
                  <w:vAlign w:val="center"/>
                </w:tcPr>
                <w:p w14:paraId="1C159FF2" w14:textId="0C0A2162" w:rsidR="006979BC" w:rsidRPr="008048D3" w:rsidRDefault="006979BC" w:rsidP="006979BC">
                  <w:pPr>
                    <w:jc w:val="right"/>
                    <w:rPr>
                      <w:rFonts w:ascii="Verdana" w:hAnsi="Verdana" w:cs="Calibri"/>
                      <w:sz w:val="16"/>
                      <w:szCs w:val="16"/>
                      <w:lang w:val="lt-LT"/>
                    </w:rPr>
                  </w:pPr>
                  <w:r w:rsidRPr="008048D3">
                    <w:rPr>
                      <w:rFonts w:ascii="Verdana" w:hAnsi="Verdana" w:cs="Calibri"/>
                      <w:sz w:val="16"/>
                      <w:szCs w:val="16"/>
                      <w:lang w:val="lt-LT"/>
                    </w:rPr>
                    <w:t>88</w:t>
                  </w:r>
                  <w:r w:rsidR="00132F65" w:rsidRPr="008048D3">
                    <w:rPr>
                      <w:rFonts w:ascii="Verdana" w:hAnsi="Verdana" w:cs="Calibri"/>
                      <w:sz w:val="16"/>
                      <w:szCs w:val="16"/>
                      <w:lang w:val="lt-LT"/>
                    </w:rPr>
                    <w:t>,</w:t>
                  </w:r>
                  <w:r w:rsidRPr="008048D3">
                    <w:rPr>
                      <w:rFonts w:ascii="Verdana" w:hAnsi="Verdana" w:cs="Calibri"/>
                      <w:sz w:val="16"/>
                      <w:szCs w:val="16"/>
                      <w:lang w:val="lt-LT"/>
                    </w:rPr>
                    <w:t>13</w:t>
                  </w:r>
                </w:p>
              </w:tc>
            </w:tr>
            <w:tr w:rsidR="006979BC" w:rsidRPr="008048D3" w14:paraId="04A38046" w14:textId="77777777" w:rsidTr="00647C13">
              <w:trPr>
                <w:trHeight w:val="432"/>
              </w:trPr>
              <w:tc>
                <w:tcPr>
                  <w:tcW w:w="2126" w:type="pct"/>
                  <w:tcBorders>
                    <w:top w:val="nil"/>
                    <w:left w:val="single" w:sz="4" w:space="0" w:color="A6A6A6"/>
                    <w:bottom w:val="single" w:sz="4" w:space="0" w:color="A6A6A6"/>
                    <w:right w:val="single" w:sz="4" w:space="0" w:color="A6A6A6"/>
                  </w:tcBorders>
                  <w:shd w:val="clear" w:color="auto" w:fill="auto"/>
                  <w:noWrap/>
                  <w:vAlign w:val="center"/>
                </w:tcPr>
                <w:p w14:paraId="68256944" w14:textId="77777777" w:rsidR="006979BC" w:rsidRPr="008048D3" w:rsidRDefault="006979BC" w:rsidP="006979BC">
                  <w:pPr>
                    <w:jc w:val="both"/>
                    <w:rPr>
                      <w:rFonts w:ascii="Verdana" w:hAnsi="Verdana" w:cs="Calibri"/>
                      <w:sz w:val="16"/>
                      <w:szCs w:val="16"/>
                      <w:lang w:val="lt-LT"/>
                    </w:rPr>
                  </w:pPr>
                  <w:proofErr w:type="spellStart"/>
                  <w:r w:rsidRPr="008048D3">
                    <w:rPr>
                      <w:rFonts w:ascii="Verdana" w:hAnsi="Verdana" w:cs="Calibri"/>
                      <w:sz w:val="16"/>
                      <w:szCs w:val="16"/>
                      <w:lang w:val="lt-LT"/>
                    </w:rPr>
                    <w:t>Multi</w:t>
                  </w:r>
                  <w:proofErr w:type="spellEnd"/>
                  <w:r w:rsidRPr="008048D3">
                    <w:rPr>
                      <w:rFonts w:ascii="Verdana" w:hAnsi="Verdana" w:cs="Calibri"/>
                      <w:sz w:val="16"/>
                      <w:szCs w:val="16"/>
                      <w:lang w:val="lt-LT"/>
                    </w:rPr>
                    <w:t xml:space="preserve"> </w:t>
                  </w:r>
                  <w:proofErr w:type="spellStart"/>
                  <w:r w:rsidRPr="008048D3">
                    <w:rPr>
                      <w:rFonts w:ascii="Verdana" w:hAnsi="Verdana" w:cs="Calibri"/>
                      <w:sz w:val="16"/>
                      <w:szCs w:val="16"/>
                      <w:lang w:val="lt-LT"/>
                    </w:rPr>
                    <w:t>Asset</w:t>
                  </w:r>
                  <w:proofErr w:type="spellEnd"/>
                  <w:r w:rsidRPr="008048D3">
                    <w:rPr>
                      <w:rFonts w:ascii="Verdana" w:hAnsi="Verdana" w:cs="Calibri"/>
                      <w:sz w:val="16"/>
                      <w:szCs w:val="16"/>
                      <w:lang w:val="lt-LT"/>
                    </w:rPr>
                    <w:t xml:space="preserve"> </w:t>
                  </w:r>
                  <w:proofErr w:type="spellStart"/>
                  <w:r w:rsidRPr="008048D3">
                    <w:rPr>
                      <w:rFonts w:ascii="Verdana" w:hAnsi="Verdana" w:cs="Calibri"/>
                      <w:sz w:val="16"/>
                      <w:szCs w:val="16"/>
                      <w:lang w:val="lt-LT"/>
                    </w:rPr>
                    <w:t>Selection</w:t>
                  </w:r>
                  <w:proofErr w:type="spellEnd"/>
                  <w:r w:rsidRPr="008048D3">
                    <w:rPr>
                      <w:rFonts w:ascii="Verdana" w:hAnsi="Verdana" w:cs="Calibri"/>
                      <w:sz w:val="16"/>
                      <w:szCs w:val="16"/>
                      <w:lang w:val="lt-LT"/>
                    </w:rPr>
                    <w:t xml:space="preserve"> </w:t>
                  </w:r>
                  <w:proofErr w:type="spellStart"/>
                  <w:r w:rsidRPr="008048D3">
                    <w:rPr>
                      <w:rFonts w:ascii="Verdana" w:hAnsi="Verdana" w:cs="Calibri"/>
                      <w:sz w:val="16"/>
                      <w:szCs w:val="16"/>
                      <w:lang w:val="lt-LT"/>
                    </w:rPr>
                    <w:t>Fund</w:t>
                  </w:r>
                  <w:proofErr w:type="spellEnd"/>
                </w:p>
              </w:tc>
              <w:tc>
                <w:tcPr>
                  <w:tcW w:w="1426" w:type="pct"/>
                  <w:tcBorders>
                    <w:top w:val="nil"/>
                    <w:left w:val="nil"/>
                    <w:bottom w:val="single" w:sz="4" w:space="0" w:color="A6A6A6"/>
                    <w:right w:val="single" w:sz="4" w:space="0" w:color="A6A6A6"/>
                  </w:tcBorders>
                  <w:shd w:val="clear" w:color="auto" w:fill="auto"/>
                  <w:noWrap/>
                  <w:vAlign w:val="center"/>
                </w:tcPr>
                <w:p w14:paraId="5FAD503F" w14:textId="670331A3" w:rsidR="006979BC" w:rsidRPr="008048D3" w:rsidRDefault="006979BC" w:rsidP="006979BC">
                  <w:pPr>
                    <w:jc w:val="right"/>
                    <w:rPr>
                      <w:rFonts w:ascii="Verdana" w:hAnsi="Verdana" w:cs="Calibri"/>
                      <w:sz w:val="16"/>
                      <w:szCs w:val="16"/>
                      <w:lang w:val="lt-LT"/>
                    </w:rPr>
                  </w:pPr>
                  <w:r w:rsidRPr="008048D3">
                    <w:rPr>
                      <w:rFonts w:ascii="Verdana" w:hAnsi="Verdana" w:cs="Calibri"/>
                      <w:sz w:val="16"/>
                      <w:szCs w:val="16"/>
                      <w:lang w:val="lt-LT"/>
                    </w:rPr>
                    <w:t>10</w:t>
                  </w:r>
                  <w:r w:rsidR="00132F65" w:rsidRPr="008048D3">
                    <w:rPr>
                      <w:rFonts w:ascii="Verdana" w:hAnsi="Verdana" w:cs="Calibri"/>
                      <w:sz w:val="16"/>
                      <w:szCs w:val="16"/>
                      <w:lang w:val="lt-LT"/>
                    </w:rPr>
                    <w:t> </w:t>
                  </w:r>
                  <w:r w:rsidRPr="008048D3">
                    <w:rPr>
                      <w:rFonts w:ascii="Verdana" w:hAnsi="Verdana" w:cs="Calibri"/>
                      <w:sz w:val="16"/>
                      <w:szCs w:val="16"/>
                      <w:lang w:val="lt-LT"/>
                    </w:rPr>
                    <w:t>92</w:t>
                  </w:r>
                  <w:r w:rsidR="00C26DCB" w:rsidRPr="008048D3">
                    <w:rPr>
                      <w:rFonts w:ascii="Verdana" w:hAnsi="Verdana" w:cs="Calibri"/>
                      <w:sz w:val="16"/>
                      <w:szCs w:val="16"/>
                      <w:lang w:val="lt-LT"/>
                    </w:rPr>
                    <w:t>0</w:t>
                  </w:r>
                  <w:r w:rsidR="00132F65" w:rsidRPr="008048D3">
                    <w:rPr>
                      <w:rFonts w:ascii="Verdana" w:hAnsi="Verdana" w:cs="Calibri"/>
                      <w:sz w:val="16"/>
                      <w:szCs w:val="16"/>
                      <w:lang w:val="lt-LT"/>
                    </w:rPr>
                    <w:t xml:space="preserve"> </w:t>
                  </w:r>
                  <w:r w:rsidR="00C26DCB" w:rsidRPr="008048D3">
                    <w:rPr>
                      <w:rFonts w:ascii="Verdana" w:hAnsi="Verdana" w:cs="Calibri"/>
                      <w:sz w:val="16"/>
                      <w:szCs w:val="16"/>
                      <w:lang w:val="lt-LT"/>
                    </w:rPr>
                    <w:t>7</w:t>
                  </w:r>
                  <w:r w:rsidRPr="008048D3">
                    <w:rPr>
                      <w:rFonts w:ascii="Verdana" w:hAnsi="Verdana" w:cs="Calibri"/>
                      <w:sz w:val="16"/>
                      <w:szCs w:val="16"/>
                      <w:lang w:val="lt-LT"/>
                    </w:rPr>
                    <w:t xml:space="preserve">36   </w:t>
                  </w:r>
                </w:p>
              </w:tc>
              <w:tc>
                <w:tcPr>
                  <w:tcW w:w="1448" w:type="pct"/>
                  <w:tcBorders>
                    <w:top w:val="nil"/>
                    <w:left w:val="nil"/>
                    <w:bottom w:val="single" w:sz="4" w:space="0" w:color="A6A6A6"/>
                    <w:right w:val="single" w:sz="4" w:space="0" w:color="A6A6A6"/>
                  </w:tcBorders>
                  <w:shd w:val="clear" w:color="auto" w:fill="auto"/>
                  <w:noWrap/>
                  <w:vAlign w:val="center"/>
                </w:tcPr>
                <w:p w14:paraId="16EC5C74" w14:textId="1555AACA" w:rsidR="006979BC" w:rsidRPr="008048D3" w:rsidRDefault="006979BC" w:rsidP="006979BC">
                  <w:pPr>
                    <w:jc w:val="right"/>
                    <w:rPr>
                      <w:rFonts w:ascii="Verdana" w:hAnsi="Verdana" w:cs="Calibri"/>
                      <w:sz w:val="16"/>
                      <w:szCs w:val="16"/>
                      <w:lang w:val="lt-LT"/>
                    </w:rPr>
                  </w:pPr>
                  <w:r w:rsidRPr="008048D3">
                    <w:rPr>
                      <w:rFonts w:ascii="Verdana" w:hAnsi="Verdana" w:cs="Calibri"/>
                      <w:sz w:val="16"/>
                      <w:szCs w:val="16"/>
                      <w:lang w:val="lt-LT"/>
                    </w:rPr>
                    <w:t>5</w:t>
                  </w:r>
                  <w:r w:rsidR="00132F65" w:rsidRPr="008048D3">
                    <w:rPr>
                      <w:rFonts w:ascii="Verdana" w:hAnsi="Verdana" w:cs="Calibri"/>
                      <w:sz w:val="16"/>
                      <w:szCs w:val="16"/>
                      <w:lang w:val="lt-LT"/>
                    </w:rPr>
                    <w:t>,</w:t>
                  </w:r>
                  <w:r w:rsidRPr="008048D3">
                    <w:rPr>
                      <w:rFonts w:ascii="Verdana" w:hAnsi="Verdana" w:cs="Calibri"/>
                      <w:sz w:val="16"/>
                      <w:szCs w:val="16"/>
                      <w:lang w:val="lt-LT"/>
                    </w:rPr>
                    <w:t>83</w:t>
                  </w:r>
                </w:p>
              </w:tc>
            </w:tr>
            <w:tr w:rsidR="006979BC" w:rsidRPr="008048D3" w14:paraId="10BB8DE6" w14:textId="77777777" w:rsidTr="00647C13">
              <w:trPr>
                <w:trHeight w:val="432"/>
              </w:trPr>
              <w:tc>
                <w:tcPr>
                  <w:tcW w:w="2126" w:type="pct"/>
                  <w:tcBorders>
                    <w:top w:val="nil"/>
                    <w:left w:val="single" w:sz="4" w:space="0" w:color="A6A6A6"/>
                    <w:bottom w:val="single" w:sz="4" w:space="0" w:color="A6A6A6"/>
                    <w:right w:val="single" w:sz="4" w:space="0" w:color="A6A6A6"/>
                  </w:tcBorders>
                  <w:shd w:val="clear" w:color="auto" w:fill="auto"/>
                  <w:noWrap/>
                  <w:vAlign w:val="center"/>
                </w:tcPr>
                <w:p w14:paraId="0F7C9E67" w14:textId="71B58258" w:rsidR="006979BC" w:rsidRPr="008048D3" w:rsidDel="00CE05DB" w:rsidRDefault="00132F65" w:rsidP="006979BC">
                  <w:pPr>
                    <w:jc w:val="both"/>
                    <w:rPr>
                      <w:rFonts w:ascii="Verdana" w:hAnsi="Verdana" w:cs="Calibri"/>
                      <w:sz w:val="16"/>
                      <w:szCs w:val="16"/>
                      <w:lang w:val="lt-LT"/>
                    </w:rPr>
                  </w:pPr>
                  <w:r w:rsidRPr="008048D3">
                    <w:rPr>
                      <w:rFonts w:ascii="Verdana" w:hAnsi="Verdana" w:cs="Calibri"/>
                      <w:sz w:val="16"/>
                      <w:szCs w:val="16"/>
                      <w:lang w:val="lt-LT"/>
                    </w:rPr>
                    <w:t>Laisvosios akcijos</w:t>
                  </w:r>
                </w:p>
              </w:tc>
              <w:tc>
                <w:tcPr>
                  <w:tcW w:w="1426" w:type="pct"/>
                  <w:tcBorders>
                    <w:top w:val="nil"/>
                    <w:left w:val="nil"/>
                    <w:bottom w:val="single" w:sz="4" w:space="0" w:color="A6A6A6"/>
                    <w:right w:val="single" w:sz="4" w:space="0" w:color="A6A6A6"/>
                  </w:tcBorders>
                  <w:shd w:val="clear" w:color="auto" w:fill="auto"/>
                  <w:noWrap/>
                  <w:vAlign w:val="center"/>
                </w:tcPr>
                <w:p w14:paraId="0E688E0D" w14:textId="176F82D1" w:rsidR="006979BC" w:rsidRPr="008048D3" w:rsidDel="00CE05DB" w:rsidRDefault="006979BC" w:rsidP="006979BC">
                  <w:pPr>
                    <w:jc w:val="right"/>
                    <w:rPr>
                      <w:rFonts w:ascii="Verdana" w:hAnsi="Verdana" w:cs="Calibri"/>
                      <w:sz w:val="16"/>
                      <w:szCs w:val="16"/>
                      <w:lang w:val="lt-LT"/>
                    </w:rPr>
                  </w:pPr>
                  <w:r w:rsidRPr="008048D3">
                    <w:rPr>
                      <w:rFonts w:ascii="Verdana" w:hAnsi="Verdana" w:cs="Calibri"/>
                      <w:sz w:val="16"/>
                      <w:szCs w:val="16"/>
                      <w:lang w:val="lt-LT"/>
                    </w:rPr>
                    <w:t>11</w:t>
                  </w:r>
                  <w:r w:rsidR="00132F65" w:rsidRPr="008048D3">
                    <w:rPr>
                      <w:rFonts w:ascii="Verdana" w:hAnsi="Verdana" w:cs="Calibri"/>
                      <w:sz w:val="16"/>
                      <w:szCs w:val="16"/>
                      <w:lang w:val="lt-LT"/>
                    </w:rPr>
                    <w:t> </w:t>
                  </w:r>
                  <w:r w:rsidRPr="008048D3">
                    <w:rPr>
                      <w:rFonts w:ascii="Verdana" w:hAnsi="Verdana" w:cs="Calibri"/>
                      <w:sz w:val="16"/>
                      <w:szCs w:val="16"/>
                      <w:lang w:val="lt-LT"/>
                    </w:rPr>
                    <w:t>3</w:t>
                  </w:r>
                  <w:r w:rsidR="00C26DCB" w:rsidRPr="008048D3">
                    <w:rPr>
                      <w:rFonts w:ascii="Verdana" w:hAnsi="Verdana" w:cs="Calibri"/>
                      <w:sz w:val="16"/>
                      <w:szCs w:val="16"/>
                      <w:lang w:val="lt-LT"/>
                    </w:rPr>
                    <w:t>27</w:t>
                  </w:r>
                  <w:r w:rsidR="00132F65" w:rsidRPr="008048D3">
                    <w:rPr>
                      <w:rFonts w:ascii="Verdana" w:hAnsi="Verdana" w:cs="Calibri"/>
                      <w:sz w:val="16"/>
                      <w:szCs w:val="16"/>
                      <w:lang w:val="lt-LT"/>
                    </w:rPr>
                    <w:t xml:space="preserve"> </w:t>
                  </w:r>
                  <w:r w:rsidR="00C26DCB" w:rsidRPr="008048D3">
                    <w:rPr>
                      <w:rFonts w:ascii="Verdana" w:hAnsi="Verdana" w:cs="Calibri"/>
                      <w:sz w:val="16"/>
                      <w:szCs w:val="16"/>
                      <w:lang w:val="lt-LT"/>
                    </w:rPr>
                    <w:t>577</w:t>
                  </w:r>
                  <w:r w:rsidRPr="008048D3">
                    <w:rPr>
                      <w:rFonts w:ascii="Verdana" w:hAnsi="Verdana" w:cs="Calibri"/>
                      <w:sz w:val="16"/>
                      <w:szCs w:val="16"/>
                      <w:lang w:val="lt-LT"/>
                    </w:rPr>
                    <w:t xml:space="preserve">   </w:t>
                  </w:r>
                </w:p>
              </w:tc>
              <w:tc>
                <w:tcPr>
                  <w:tcW w:w="1448" w:type="pct"/>
                  <w:tcBorders>
                    <w:top w:val="nil"/>
                    <w:left w:val="nil"/>
                    <w:bottom w:val="single" w:sz="4" w:space="0" w:color="A6A6A6"/>
                    <w:right w:val="single" w:sz="4" w:space="0" w:color="A6A6A6"/>
                  </w:tcBorders>
                  <w:shd w:val="clear" w:color="auto" w:fill="auto"/>
                  <w:noWrap/>
                  <w:vAlign w:val="center"/>
                </w:tcPr>
                <w:p w14:paraId="5C1E47F6" w14:textId="311907AE" w:rsidR="006979BC" w:rsidRPr="008048D3" w:rsidDel="00CE05DB" w:rsidRDefault="006979BC" w:rsidP="006979BC">
                  <w:pPr>
                    <w:jc w:val="right"/>
                    <w:rPr>
                      <w:rFonts w:ascii="Verdana" w:hAnsi="Verdana" w:cs="Calibri"/>
                      <w:sz w:val="16"/>
                      <w:szCs w:val="16"/>
                      <w:lang w:val="lt-LT"/>
                    </w:rPr>
                  </w:pPr>
                  <w:r w:rsidRPr="008048D3">
                    <w:rPr>
                      <w:rFonts w:ascii="Verdana" w:hAnsi="Verdana" w:cs="Calibri"/>
                      <w:sz w:val="16"/>
                      <w:szCs w:val="16"/>
                      <w:lang w:val="lt-LT"/>
                    </w:rPr>
                    <w:t>6</w:t>
                  </w:r>
                  <w:r w:rsidR="00132F65" w:rsidRPr="008048D3">
                    <w:rPr>
                      <w:rFonts w:ascii="Verdana" w:hAnsi="Verdana" w:cs="Calibri"/>
                      <w:sz w:val="16"/>
                      <w:szCs w:val="16"/>
                      <w:lang w:val="lt-LT"/>
                    </w:rPr>
                    <w:t>,</w:t>
                  </w:r>
                  <w:r w:rsidRPr="008048D3">
                    <w:rPr>
                      <w:rFonts w:ascii="Verdana" w:hAnsi="Verdana" w:cs="Calibri"/>
                      <w:sz w:val="16"/>
                      <w:szCs w:val="16"/>
                      <w:lang w:val="lt-LT"/>
                    </w:rPr>
                    <w:t>04</w:t>
                  </w:r>
                </w:p>
              </w:tc>
            </w:tr>
            <w:tr w:rsidR="006979BC" w:rsidRPr="008048D3" w14:paraId="0A1EC764" w14:textId="77777777" w:rsidTr="00647C13">
              <w:trPr>
                <w:trHeight w:val="432"/>
              </w:trPr>
              <w:tc>
                <w:tcPr>
                  <w:tcW w:w="2126" w:type="pct"/>
                  <w:tcBorders>
                    <w:top w:val="nil"/>
                    <w:left w:val="single" w:sz="4" w:space="0" w:color="A6A6A6"/>
                    <w:bottom w:val="single" w:sz="4" w:space="0" w:color="A6A6A6"/>
                    <w:right w:val="single" w:sz="4" w:space="0" w:color="A6A6A6"/>
                  </w:tcBorders>
                  <w:shd w:val="clear" w:color="auto" w:fill="auto"/>
                  <w:noWrap/>
                  <w:vAlign w:val="center"/>
                </w:tcPr>
                <w:p w14:paraId="063F68C1" w14:textId="4DCF357D" w:rsidR="006979BC" w:rsidRPr="008048D3" w:rsidRDefault="00132F65" w:rsidP="006979BC">
                  <w:pPr>
                    <w:jc w:val="both"/>
                    <w:rPr>
                      <w:rFonts w:ascii="Verdana" w:hAnsi="Verdana"/>
                      <w:b/>
                      <w:sz w:val="16"/>
                      <w:lang w:val="lt-LT"/>
                    </w:rPr>
                  </w:pPr>
                  <w:r w:rsidRPr="008048D3">
                    <w:rPr>
                      <w:rFonts w:ascii="Verdana" w:hAnsi="Verdana"/>
                      <w:b/>
                      <w:sz w:val="16"/>
                      <w:lang w:val="lt-LT"/>
                    </w:rPr>
                    <w:lastRenderedPageBreak/>
                    <w:t xml:space="preserve">Iš viso </w:t>
                  </w:r>
                </w:p>
              </w:tc>
              <w:tc>
                <w:tcPr>
                  <w:tcW w:w="1426" w:type="pct"/>
                  <w:tcBorders>
                    <w:top w:val="nil"/>
                    <w:left w:val="nil"/>
                    <w:bottom w:val="single" w:sz="4" w:space="0" w:color="A6A6A6"/>
                    <w:right w:val="single" w:sz="4" w:space="0" w:color="A6A6A6"/>
                  </w:tcBorders>
                  <w:shd w:val="clear" w:color="auto" w:fill="auto"/>
                  <w:noWrap/>
                  <w:vAlign w:val="center"/>
                </w:tcPr>
                <w:p w14:paraId="1DF02C88" w14:textId="3F52C6CF" w:rsidR="006979BC" w:rsidRPr="008048D3" w:rsidDel="00CE05DB" w:rsidRDefault="006979BC" w:rsidP="006979BC">
                  <w:pPr>
                    <w:jc w:val="right"/>
                    <w:rPr>
                      <w:rFonts w:ascii="Verdana" w:hAnsi="Verdana"/>
                      <w:b/>
                      <w:sz w:val="16"/>
                      <w:lang w:val="lt-LT"/>
                    </w:rPr>
                  </w:pPr>
                  <w:r w:rsidRPr="008048D3">
                    <w:rPr>
                      <w:rFonts w:ascii="Verdana" w:hAnsi="Verdana"/>
                      <w:b/>
                      <w:sz w:val="16"/>
                      <w:lang w:val="lt-LT"/>
                    </w:rPr>
                    <w:t>187</w:t>
                  </w:r>
                  <w:r w:rsidR="00132F65" w:rsidRPr="008048D3">
                    <w:rPr>
                      <w:rFonts w:ascii="Verdana" w:hAnsi="Verdana"/>
                      <w:b/>
                      <w:sz w:val="16"/>
                      <w:lang w:val="lt-LT"/>
                    </w:rPr>
                    <w:t> </w:t>
                  </w:r>
                  <w:r w:rsidRPr="008048D3">
                    <w:rPr>
                      <w:rFonts w:ascii="Verdana" w:hAnsi="Verdana"/>
                      <w:b/>
                      <w:sz w:val="16"/>
                      <w:lang w:val="lt-LT"/>
                    </w:rPr>
                    <w:t>416</w:t>
                  </w:r>
                  <w:r w:rsidR="00132F65" w:rsidRPr="008048D3">
                    <w:rPr>
                      <w:rFonts w:ascii="Verdana" w:hAnsi="Verdana"/>
                      <w:b/>
                      <w:sz w:val="16"/>
                      <w:lang w:val="lt-LT"/>
                    </w:rPr>
                    <w:t xml:space="preserve"> </w:t>
                  </w:r>
                  <w:r w:rsidRPr="008048D3">
                    <w:rPr>
                      <w:rFonts w:ascii="Verdana" w:hAnsi="Verdana"/>
                      <w:b/>
                      <w:sz w:val="16"/>
                      <w:lang w:val="lt-LT"/>
                    </w:rPr>
                    <w:t>252</w:t>
                  </w:r>
                </w:p>
              </w:tc>
              <w:tc>
                <w:tcPr>
                  <w:tcW w:w="1448" w:type="pct"/>
                  <w:tcBorders>
                    <w:top w:val="nil"/>
                    <w:left w:val="nil"/>
                    <w:bottom w:val="single" w:sz="4" w:space="0" w:color="A6A6A6"/>
                    <w:right w:val="single" w:sz="4" w:space="0" w:color="A6A6A6"/>
                  </w:tcBorders>
                  <w:shd w:val="clear" w:color="auto" w:fill="auto"/>
                  <w:noWrap/>
                  <w:vAlign w:val="center"/>
                </w:tcPr>
                <w:p w14:paraId="21E9318E" w14:textId="77777777" w:rsidR="006979BC" w:rsidRPr="008048D3" w:rsidDel="00CE05DB" w:rsidRDefault="006979BC" w:rsidP="006979BC">
                  <w:pPr>
                    <w:jc w:val="right"/>
                    <w:rPr>
                      <w:rFonts w:ascii="Verdana" w:hAnsi="Verdana"/>
                      <w:b/>
                      <w:sz w:val="16"/>
                      <w:lang w:val="lt-LT"/>
                    </w:rPr>
                  </w:pPr>
                  <w:r w:rsidRPr="008048D3">
                    <w:rPr>
                      <w:rFonts w:ascii="Verdana" w:hAnsi="Verdana"/>
                      <w:b/>
                      <w:sz w:val="16"/>
                      <w:lang w:val="lt-LT"/>
                    </w:rPr>
                    <w:t>100</w:t>
                  </w:r>
                </w:p>
              </w:tc>
            </w:tr>
          </w:tbl>
          <w:p w14:paraId="59D400A6" w14:textId="236FC258" w:rsidR="006979BC" w:rsidRPr="008048D3" w:rsidRDefault="00132F65" w:rsidP="006979BC">
            <w:pPr>
              <w:tabs>
                <w:tab w:val="left" w:pos="991"/>
                <w:tab w:val="left" w:pos="7848"/>
              </w:tabs>
              <w:rPr>
                <w:rFonts w:ascii="Verdana" w:hAnsi="Verdana"/>
                <w:i/>
                <w:sz w:val="16"/>
                <w:szCs w:val="16"/>
                <w:lang w:val="lt-LT"/>
              </w:rPr>
            </w:pPr>
            <w:r w:rsidRPr="008048D3">
              <w:rPr>
                <w:rFonts w:ascii="Verdana" w:hAnsi="Verdana"/>
                <w:i/>
                <w:sz w:val="16"/>
                <w:szCs w:val="16"/>
                <w:lang w:val="lt-LT"/>
              </w:rPr>
              <w:t>Šaltinis: Bendrovė</w:t>
            </w:r>
          </w:p>
          <w:p w14:paraId="3529B86C" w14:textId="77777777" w:rsidR="006979BC" w:rsidRPr="008048D3" w:rsidRDefault="006979BC" w:rsidP="006979BC">
            <w:pPr>
              <w:ind w:right="-32"/>
              <w:rPr>
                <w:rFonts w:ascii="Verdana" w:hAnsi="Verdana"/>
                <w:sz w:val="16"/>
                <w:szCs w:val="16"/>
                <w:lang w:val="lt-LT"/>
              </w:rPr>
            </w:pPr>
          </w:p>
          <w:p w14:paraId="1C94D217" w14:textId="3A936A64" w:rsidR="006979BC" w:rsidRPr="008048D3" w:rsidRDefault="00132F65" w:rsidP="006979BC">
            <w:pPr>
              <w:ind w:right="-32"/>
              <w:jc w:val="both"/>
              <w:rPr>
                <w:rFonts w:ascii="Verdana" w:hAnsi="Verdana"/>
                <w:sz w:val="16"/>
                <w:szCs w:val="16"/>
                <w:lang w:val="lt-LT"/>
              </w:rPr>
            </w:pPr>
            <w:r w:rsidRPr="008048D3">
              <w:rPr>
                <w:rFonts w:ascii="Verdana" w:hAnsi="Verdana"/>
                <w:sz w:val="16"/>
                <w:szCs w:val="16"/>
                <w:lang w:val="lt-LT"/>
              </w:rPr>
              <w:t xml:space="preserve">Visos Emitento Akcijos </w:t>
            </w:r>
            <w:r w:rsidR="006979BC" w:rsidRPr="008048D3">
              <w:rPr>
                <w:rFonts w:ascii="Verdana" w:hAnsi="Verdana"/>
                <w:sz w:val="16"/>
                <w:szCs w:val="16"/>
                <w:lang w:val="lt-LT"/>
              </w:rPr>
              <w:t>(</w:t>
            </w:r>
            <w:r w:rsidRPr="008048D3">
              <w:rPr>
                <w:rFonts w:ascii="Verdana" w:hAnsi="Verdana"/>
                <w:sz w:val="16"/>
                <w:szCs w:val="16"/>
                <w:lang w:val="lt-LT"/>
              </w:rPr>
              <w:t>įskaitant Nauja</w:t>
            </w:r>
            <w:r w:rsidR="00B7670D" w:rsidRPr="008048D3">
              <w:rPr>
                <w:rFonts w:ascii="Verdana" w:hAnsi="Verdana"/>
                <w:sz w:val="16"/>
                <w:szCs w:val="16"/>
                <w:lang w:val="lt-LT"/>
              </w:rPr>
              <w:t>s</w:t>
            </w:r>
            <w:r w:rsidRPr="008048D3">
              <w:rPr>
                <w:rFonts w:ascii="Verdana" w:hAnsi="Verdana"/>
                <w:sz w:val="16"/>
                <w:szCs w:val="16"/>
                <w:lang w:val="lt-LT"/>
              </w:rPr>
              <w:t xml:space="preserve"> akcijas po jų išleidimo</w:t>
            </w:r>
            <w:r w:rsidR="006979BC" w:rsidRPr="008048D3">
              <w:rPr>
                <w:rFonts w:ascii="Verdana" w:hAnsi="Verdana"/>
                <w:sz w:val="16"/>
                <w:szCs w:val="16"/>
                <w:lang w:val="lt-LT"/>
              </w:rPr>
              <w:t xml:space="preserve">) </w:t>
            </w:r>
            <w:r w:rsidRPr="008048D3">
              <w:rPr>
                <w:rFonts w:ascii="Verdana" w:hAnsi="Verdana"/>
                <w:sz w:val="16"/>
                <w:szCs w:val="16"/>
                <w:lang w:val="lt-LT"/>
              </w:rPr>
              <w:t>suteikia tokias pačias balso teises visiems akcininkams</w:t>
            </w:r>
            <w:r w:rsidR="006979BC" w:rsidRPr="008048D3">
              <w:rPr>
                <w:rFonts w:ascii="Verdana" w:hAnsi="Verdana"/>
                <w:sz w:val="16"/>
                <w:szCs w:val="16"/>
                <w:lang w:val="lt-LT"/>
              </w:rPr>
              <w:t xml:space="preserve">. </w:t>
            </w:r>
          </w:p>
          <w:p w14:paraId="144C8171" w14:textId="77777777" w:rsidR="006979BC" w:rsidRPr="008048D3" w:rsidRDefault="006979BC" w:rsidP="00690D55">
            <w:pPr>
              <w:ind w:right="-32"/>
              <w:rPr>
                <w:rFonts w:ascii="Verdana" w:hAnsi="Verdana"/>
                <w:sz w:val="16"/>
                <w:szCs w:val="16"/>
                <w:lang w:val="lt-LT"/>
              </w:rPr>
            </w:pPr>
          </w:p>
          <w:p w14:paraId="560E91A8" w14:textId="760731DD" w:rsidR="006979BC" w:rsidRPr="008048D3" w:rsidRDefault="00132F65" w:rsidP="006979BC">
            <w:pPr>
              <w:ind w:right="-32"/>
              <w:jc w:val="both"/>
              <w:rPr>
                <w:rFonts w:ascii="Verdana" w:hAnsi="Verdana"/>
                <w:sz w:val="16"/>
                <w:szCs w:val="16"/>
                <w:lang w:val="lt-LT"/>
              </w:rPr>
            </w:pPr>
            <w:r w:rsidRPr="008048D3">
              <w:rPr>
                <w:rFonts w:ascii="Verdana" w:hAnsi="Verdana"/>
                <w:sz w:val="16"/>
                <w:szCs w:val="16"/>
                <w:lang w:val="lt-LT"/>
              </w:rPr>
              <w:t>Emitentą kontroliuoja Emitento akcininkai</w:t>
            </w:r>
            <w:r w:rsidR="006979BC" w:rsidRPr="008048D3">
              <w:rPr>
                <w:rFonts w:ascii="Verdana" w:hAnsi="Verdana"/>
                <w:sz w:val="16"/>
                <w:szCs w:val="16"/>
                <w:lang w:val="lt-LT"/>
              </w:rPr>
              <w:t xml:space="preserve">. </w:t>
            </w:r>
            <w:r w:rsidRPr="008048D3">
              <w:rPr>
                <w:rFonts w:ascii="Verdana" w:hAnsi="Verdana"/>
                <w:sz w:val="16"/>
                <w:szCs w:val="16"/>
                <w:lang w:val="lt-LT"/>
              </w:rPr>
              <w:t>Emitentui nėra žinoma apie jokius tiesioginės arba netiesioginės kontrolės ryšius</w:t>
            </w:r>
            <w:r w:rsidR="006979BC" w:rsidRPr="008048D3">
              <w:rPr>
                <w:rFonts w:ascii="Verdana" w:hAnsi="Verdana"/>
                <w:sz w:val="16"/>
                <w:szCs w:val="16"/>
                <w:lang w:val="lt-LT"/>
              </w:rPr>
              <w:t xml:space="preserve">, </w:t>
            </w:r>
            <w:r w:rsidRPr="008048D3">
              <w:rPr>
                <w:rFonts w:ascii="Verdana" w:hAnsi="Verdana"/>
                <w:sz w:val="16"/>
                <w:szCs w:val="16"/>
                <w:lang w:val="lt-LT"/>
              </w:rPr>
              <w:t xml:space="preserve">išskyrus tai, kad visos </w:t>
            </w:r>
            <w:r w:rsidR="006979BC" w:rsidRPr="008048D3">
              <w:rPr>
                <w:rFonts w:ascii="Verdana" w:hAnsi="Verdana"/>
                <w:sz w:val="16"/>
                <w:szCs w:val="16"/>
                <w:lang w:val="lt-LT"/>
              </w:rPr>
              <w:t>Baltic Champs Group</w:t>
            </w:r>
            <w:r w:rsidRPr="008048D3">
              <w:rPr>
                <w:rFonts w:ascii="Verdana" w:hAnsi="Verdana"/>
                <w:sz w:val="16"/>
                <w:szCs w:val="16"/>
                <w:lang w:val="lt-LT"/>
              </w:rPr>
              <w:t>,</w:t>
            </w:r>
            <w:r w:rsidR="006979BC" w:rsidRPr="008048D3">
              <w:rPr>
                <w:rFonts w:ascii="Verdana" w:hAnsi="Verdana"/>
                <w:sz w:val="16"/>
                <w:szCs w:val="16"/>
                <w:lang w:val="lt-LT"/>
              </w:rPr>
              <w:t xml:space="preserve"> UAB </w:t>
            </w:r>
            <w:r w:rsidR="00E67045" w:rsidRPr="008048D3">
              <w:rPr>
                <w:rFonts w:ascii="Verdana" w:hAnsi="Verdana"/>
                <w:sz w:val="16"/>
                <w:szCs w:val="16"/>
                <w:lang w:val="lt-LT"/>
              </w:rPr>
              <w:t xml:space="preserve">(toliau – </w:t>
            </w:r>
            <w:r w:rsidR="00E67045" w:rsidRPr="008048D3">
              <w:rPr>
                <w:rFonts w:ascii="Verdana" w:hAnsi="Verdana"/>
                <w:b/>
                <w:sz w:val="16"/>
                <w:szCs w:val="16"/>
                <w:lang w:val="lt-LT"/>
              </w:rPr>
              <w:t>Parduodantis akcininkas</w:t>
            </w:r>
            <w:r w:rsidR="00E67045" w:rsidRPr="008048D3">
              <w:rPr>
                <w:rFonts w:ascii="Verdana" w:hAnsi="Verdana"/>
                <w:sz w:val="16"/>
                <w:szCs w:val="16"/>
                <w:lang w:val="lt-LT"/>
              </w:rPr>
              <w:t xml:space="preserve">) </w:t>
            </w:r>
            <w:r w:rsidRPr="008048D3">
              <w:rPr>
                <w:rFonts w:ascii="Verdana" w:hAnsi="Verdana"/>
                <w:sz w:val="16"/>
                <w:szCs w:val="16"/>
                <w:lang w:val="lt-LT"/>
              </w:rPr>
              <w:t xml:space="preserve">akcijos nuosavybės teise priklauso valdybos pirmininkui </w:t>
            </w:r>
            <w:r w:rsidR="006979BC" w:rsidRPr="008048D3">
              <w:rPr>
                <w:rFonts w:ascii="Verdana" w:hAnsi="Verdana"/>
                <w:sz w:val="16"/>
                <w:szCs w:val="16"/>
                <w:lang w:val="lt-LT"/>
              </w:rPr>
              <w:t>Kęstu</w:t>
            </w:r>
            <w:r w:rsidRPr="008048D3">
              <w:rPr>
                <w:rFonts w:ascii="Verdana" w:hAnsi="Verdana"/>
                <w:sz w:val="16"/>
                <w:szCs w:val="16"/>
                <w:lang w:val="lt-LT"/>
              </w:rPr>
              <w:t>čiui</w:t>
            </w:r>
            <w:r w:rsidR="006979BC" w:rsidRPr="008048D3">
              <w:rPr>
                <w:rFonts w:ascii="Verdana" w:hAnsi="Verdana"/>
                <w:sz w:val="16"/>
                <w:szCs w:val="16"/>
                <w:lang w:val="lt-LT"/>
              </w:rPr>
              <w:t xml:space="preserve"> </w:t>
            </w:r>
            <w:proofErr w:type="spellStart"/>
            <w:r w:rsidR="006979BC" w:rsidRPr="008048D3">
              <w:rPr>
                <w:rFonts w:ascii="Verdana" w:hAnsi="Verdana"/>
                <w:sz w:val="16"/>
                <w:szCs w:val="16"/>
                <w:lang w:val="lt-LT"/>
              </w:rPr>
              <w:t>Juščiu</w:t>
            </w:r>
            <w:r w:rsidRPr="008048D3">
              <w:rPr>
                <w:rFonts w:ascii="Verdana" w:hAnsi="Verdana"/>
                <w:sz w:val="16"/>
                <w:szCs w:val="16"/>
                <w:lang w:val="lt-LT"/>
              </w:rPr>
              <w:t>i</w:t>
            </w:r>
            <w:proofErr w:type="spellEnd"/>
            <w:r w:rsidR="006979BC" w:rsidRPr="008048D3">
              <w:rPr>
                <w:rFonts w:ascii="Verdana" w:hAnsi="Verdana"/>
                <w:sz w:val="16"/>
                <w:szCs w:val="16"/>
                <w:lang w:val="lt-LT"/>
              </w:rPr>
              <w:t>.</w:t>
            </w:r>
          </w:p>
          <w:p w14:paraId="07F6D06C" w14:textId="77777777" w:rsidR="006979BC" w:rsidRPr="008048D3" w:rsidRDefault="006979BC" w:rsidP="006979BC">
            <w:pPr>
              <w:ind w:right="-32"/>
              <w:jc w:val="both"/>
              <w:rPr>
                <w:rFonts w:ascii="Verdana" w:hAnsi="Verdana"/>
                <w:sz w:val="16"/>
                <w:szCs w:val="16"/>
                <w:lang w:val="lt-LT"/>
              </w:rPr>
            </w:pPr>
          </w:p>
          <w:p w14:paraId="6573651B" w14:textId="57EDE28E" w:rsidR="006979BC" w:rsidRPr="008048D3" w:rsidRDefault="00305CBD" w:rsidP="00690D55">
            <w:pPr>
              <w:jc w:val="both"/>
              <w:rPr>
                <w:rFonts w:ascii="Verdana" w:hAnsi="Verdana"/>
                <w:sz w:val="16"/>
                <w:szCs w:val="16"/>
                <w:lang w:val="lt-LT"/>
              </w:rPr>
            </w:pPr>
            <w:r w:rsidRPr="008048D3">
              <w:rPr>
                <w:rFonts w:ascii="Verdana" w:hAnsi="Verdana"/>
                <w:sz w:val="16"/>
                <w:szCs w:val="16"/>
                <w:lang w:val="lt-LT"/>
              </w:rPr>
              <w:t xml:space="preserve">Bendrovei nėra žinoma apie jokius susitarimus, kuriuos įgyvendinus </w:t>
            </w:r>
            <w:r w:rsidR="00231E51" w:rsidRPr="008048D3">
              <w:rPr>
                <w:rFonts w:ascii="Verdana" w:hAnsi="Verdana"/>
                <w:sz w:val="16"/>
                <w:szCs w:val="16"/>
                <w:lang w:val="lt-LT"/>
              </w:rPr>
              <w:t>gali pasikeisti Bendrovės kontrolė</w:t>
            </w:r>
            <w:r w:rsidR="006979BC" w:rsidRPr="008048D3">
              <w:rPr>
                <w:rFonts w:ascii="Verdana" w:hAnsi="Verdana"/>
                <w:sz w:val="16"/>
                <w:szCs w:val="16"/>
                <w:lang w:val="lt-LT"/>
              </w:rPr>
              <w:t xml:space="preserve">. </w:t>
            </w:r>
            <w:r w:rsidR="00231E51" w:rsidRPr="008048D3">
              <w:rPr>
                <w:rFonts w:ascii="Verdana" w:hAnsi="Verdana"/>
                <w:sz w:val="16"/>
                <w:szCs w:val="16"/>
                <w:lang w:val="lt-LT"/>
              </w:rPr>
              <w:t xml:space="preserve">Taip pat Bendrovei nėra žinoma apie jokius bendrus </w:t>
            </w:r>
            <w:r w:rsidR="00B7670D" w:rsidRPr="008048D3">
              <w:rPr>
                <w:rFonts w:ascii="Verdana" w:hAnsi="Verdana"/>
                <w:sz w:val="16"/>
                <w:szCs w:val="16"/>
                <w:lang w:val="lt-LT"/>
              </w:rPr>
              <w:t xml:space="preserve">Bendrovės akcininkų </w:t>
            </w:r>
            <w:r w:rsidR="00231E51" w:rsidRPr="008048D3">
              <w:rPr>
                <w:rFonts w:ascii="Verdana" w:hAnsi="Verdana"/>
                <w:sz w:val="16"/>
                <w:szCs w:val="16"/>
                <w:lang w:val="lt-LT"/>
              </w:rPr>
              <w:t xml:space="preserve">susitarimus dėl </w:t>
            </w:r>
            <w:r w:rsidR="00B7670D" w:rsidRPr="008048D3">
              <w:rPr>
                <w:rFonts w:ascii="Verdana" w:hAnsi="Verdana"/>
                <w:sz w:val="16"/>
                <w:szCs w:val="16"/>
                <w:lang w:val="lt-LT"/>
              </w:rPr>
              <w:t xml:space="preserve">Bendrovės </w:t>
            </w:r>
            <w:r w:rsidR="00231E51" w:rsidRPr="008048D3">
              <w:rPr>
                <w:rFonts w:ascii="Verdana" w:hAnsi="Verdana"/>
                <w:sz w:val="16"/>
                <w:szCs w:val="16"/>
                <w:lang w:val="lt-LT"/>
              </w:rPr>
              <w:t>kontrolės</w:t>
            </w:r>
            <w:r w:rsidR="006979BC" w:rsidRPr="008048D3">
              <w:rPr>
                <w:rFonts w:ascii="Verdana" w:hAnsi="Verdana"/>
                <w:sz w:val="16"/>
                <w:szCs w:val="16"/>
                <w:lang w:val="lt-LT"/>
              </w:rPr>
              <w:t xml:space="preserve">. </w:t>
            </w:r>
            <w:r w:rsidR="00231E51" w:rsidRPr="008048D3">
              <w:rPr>
                <w:rFonts w:ascii="Verdana" w:hAnsi="Verdana"/>
                <w:sz w:val="16"/>
                <w:szCs w:val="16"/>
                <w:lang w:val="lt-LT"/>
              </w:rPr>
              <w:t xml:space="preserve">Šio Prospekto sudarymo dieną Bendrovei nėra žinoma apie jokius esamus susitarimus tarp Bendrovės akcininkų dėl naudojimosi balsavimo teisėmis, kurie galios užbaigus Bendrovės </w:t>
            </w:r>
            <w:r w:rsidR="00B7670D" w:rsidRPr="008048D3">
              <w:rPr>
                <w:rFonts w:ascii="Verdana" w:hAnsi="Verdana"/>
                <w:sz w:val="16"/>
                <w:szCs w:val="16"/>
                <w:lang w:val="lt-LT"/>
              </w:rPr>
              <w:t xml:space="preserve">įstatinio </w:t>
            </w:r>
            <w:r w:rsidR="00231E51" w:rsidRPr="008048D3">
              <w:rPr>
                <w:rFonts w:ascii="Verdana" w:hAnsi="Verdana"/>
                <w:sz w:val="16"/>
                <w:szCs w:val="16"/>
                <w:lang w:val="lt-LT"/>
              </w:rPr>
              <w:t>kapitalo padidinimą</w:t>
            </w:r>
            <w:r w:rsidR="006979BC" w:rsidRPr="008048D3">
              <w:rPr>
                <w:rFonts w:ascii="Verdana" w:hAnsi="Verdana"/>
                <w:sz w:val="16"/>
                <w:szCs w:val="16"/>
                <w:lang w:val="lt-LT"/>
              </w:rPr>
              <w:t>.</w:t>
            </w:r>
            <w:r w:rsidR="00B7670D" w:rsidRPr="008048D3">
              <w:rPr>
                <w:rFonts w:ascii="Verdana" w:hAnsi="Verdana"/>
                <w:sz w:val="16"/>
                <w:szCs w:val="16"/>
                <w:lang w:val="lt-LT"/>
              </w:rPr>
              <w:t xml:space="preserve"> </w:t>
            </w:r>
          </w:p>
        </w:tc>
      </w:tr>
      <w:tr w:rsidR="008F65F5" w:rsidRPr="008048D3" w14:paraId="5FB79119" w14:textId="77777777" w:rsidTr="00CA53A5">
        <w:trPr>
          <w:trHeight w:val="428"/>
        </w:trPr>
        <w:tc>
          <w:tcPr>
            <w:tcW w:w="288" w:type="pct"/>
          </w:tcPr>
          <w:p w14:paraId="293DEFC7" w14:textId="16E28DE9"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lastRenderedPageBreak/>
              <w:t>B.7</w:t>
            </w:r>
          </w:p>
        </w:tc>
        <w:tc>
          <w:tcPr>
            <w:tcW w:w="621" w:type="pct"/>
            <w:gridSpan w:val="2"/>
          </w:tcPr>
          <w:p w14:paraId="6B1CA104" w14:textId="77777777" w:rsidR="007F6AF9" w:rsidRPr="008048D3" w:rsidRDefault="007F6AF9" w:rsidP="007F6AF9">
            <w:pPr>
              <w:spacing w:after="40"/>
              <w:rPr>
                <w:rFonts w:ascii="Verdana" w:hAnsi="Verdana" w:cs="Arial"/>
                <w:sz w:val="16"/>
                <w:szCs w:val="16"/>
                <w:lang w:val="lt-LT"/>
              </w:rPr>
            </w:pPr>
            <w:r w:rsidRPr="008048D3">
              <w:rPr>
                <w:rFonts w:ascii="Verdana" w:hAnsi="Verdana" w:cs="Arial"/>
                <w:sz w:val="16"/>
                <w:szCs w:val="16"/>
                <w:lang w:val="lt-LT"/>
              </w:rPr>
              <w:t xml:space="preserve">Atrinkta istorinė pagrindinė finansinė informacija. </w:t>
            </w:r>
          </w:p>
          <w:p w14:paraId="58980099" w14:textId="77777777" w:rsidR="007F6AF9" w:rsidRPr="008048D3" w:rsidRDefault="007F6AF9" w:rsidP="007F6AF9">
            <w:pPr>
              <w:spacing w:after="40"/>
              <w:rPr>
                <w:rFonts w:ascii="Verdana" w:hAnsi="Verdana" w:cs="Arial"/>
                <w:sz w:val="16"/>
                <w:szCs w:val="16"/>
                <w:lang w:val="lt-LT"/>
              </w:rPr>
            </w:pPr>
            <w:r w:rsidRPr="008048D3">
              <w:rPr>
                <w:rFonts w:ascii="Verdana" w:hAnsi="Verdana" w:cs="Arial"/>
                <w:sz w:val="16"/>
                <w:szCs w:val="16"/>
                <w:lang w:val="lt-LT"/>
              </w:rPr>
              <w:t>Reikšmingų Bendrovės finansinės būklės ir veiklos rezultatų pokyčių, įvykusių po atrinktos istorinės pagrindinės finansinės informacijos laikotarpio, aprašymas</w:t>
            </w:r>
          </w:p>
          <w:p w14:paraId="482461FC" w14:textId="47B951B4" w:rsidR="008F65F5" w:rsidRPr="008048D3" w:rsidRDefault="008F65F5" w:rsidP="007F6AF9">
            <w:pPr>
              <w:spacing w:after="40"/>
              <w:rPr>
                <w:rFonts w:ascii="Verdana" w:hAnsi="Verdana" w:cs="Arial"/>
                <w:sz w:val="16"/>
                <w:szCs w:val="16"/>
                <w:lang w:val="lt-LT"/>
              </w:rPr>
            </w:pPr>
          </w:p>
        </w:tc>
        <w:tc>
          <w:tcPr>
            <w:tcW w:w="4090" w:type="pct"/>
          </w:tcPr>
          <w:p w14:paraId="3A3602F3" w14:textId="35E11079" w:rsidR="00EA1A53" w:rsidRPr="008048D3" w:rsidRDefault="00D046F6" w:rsidP="00B93956">
            <w:pPr>
              <w:ind w:right="-32"/>
              <w:jc w:val="both"/>
              <w:rPr>
                <w:rFonts w:ascii="Verdana" w:hAnsi="Verdana" w:cs="Arial"/>
                <w:sz w:val="16"/>
                <w:szCs w:val="16"/>
                <w:lang w:val="lt-LT"/>
              </w:rPr>
            </w:pPr>
            <w:r w:rsidRPr="008048D3">
              <w:rPr>
                <w:rFonts w:ascii="Verdana" w:hAnsi="Verdana" w:cs="Arial"/>
                <w:sz w:val="16"/>
                <w:szCs w:val="16"/>
                <w:lang w:val="lt-LT"/>
              </w:rPr>
              <w:t>Atrinkta f</w:t>
            </w:r>
            <w:r w:rsidR="00357770" w:rsidRPr="008048D3">
              <w:rPr>
                <w:rFonts w:ascii="Verdana" w:hAnsi="Verdana" w:cs="Arial"/>
                <w:sz w:val="16"/>
                <w:szCs w:val="16"/>
                <w:lang w:val="lt-LT"/>
              </w:rPr>
              <w:t xml:space="preserve">inansinė </w:t>
            </w:r>
            <w:r w:rsidR="00184AE3" w:rsidRPr="008048D3">
              <w:rPr>
                <w:rFonts w:ascii="Verdana" w:hAnsi="Verdana" w:cs="Arial"/>
                <w:sz w:val="16"/>
                <w:szCs w:val="16"/>
                <w:lang w:val="lt-LT"/>
              </w:rPr>
              <w:t>informa</w:t>
            </w:r>
            <w:r w:rsidR="00357770" w:rsidRPr="008048D3">
              <w:rPr>
                <w:rFonts w:ascii="Verdana" w:hAnsi="Verdana" w:cs="Arial"/>
                <w:sz w:val="16"/>
                <w:szCs w:val="16"/>
                <w:lang w:val="lt-LT"/>
              </w:rPr>
              <w:t xml:space="preserve">cija iš Grupės </w:t>
            </w:r>
            <w:r w:rsidR="00834447" w:rsidRPr="008048D3">
              <w:rPr>
                <w:rFonts w:ascii="Verdana" w:hAnsi="Verdana" w:cs="Arial"/>
                <w:sz w:val="16"/>
                <w:szCs w:val="16"/>
                <w:lang w:val="lt-LT"/>
              </w:rPr>
              <w:t xml:space="preserve">audituotų </w:t>
            </w:r>
            <w:r w:rsidR="000A1379" w:rsidRPr="008048D3">
              <w:rPr>
                <w:rFonts w:ascii="Verdana" w:hAnsi="Verdana" w:cs="Arial"/>
                <w:sz w:val="16"/>
                <w:szCs w:val="16"/>
                <w:lang w:val="lt-LT"/>
              </w:rPr>
              <w:t xml:space="preserve">metinių ir neaudituotų tarpinių </w:t>
            </w:r>
            <w:r w:rsidR="00357770" w:rsidRPr="008048D3">
              <w:rPr>
                <w:rFonts w:ascii="Verdana" w:hAnsi="Verdana" w:cs="Arial"/>
                <w:sz w:val="16"/>
                <w:szCs w:val="16"/>
                <w:lang w:val="lt-LT"/>
              </w:rPr>
              <w:t>k</w:t>
            </w:r>
            <w:r w:rsidR="00EA1A53" w:rsidRPr="008048D3">
              <w:rPr>
                <w:rFonts w:ascii="Verdana" w:hAnsi="Verdana" w:cs="Arial"/>
                <w:sz w:val="16"/>
                <w:szCs w:val="16"/>
                <w:lang w:val="lt-LT"/>
              </w:rPr>
              <w:t>onsolid</w:t>
            </w:r>
            <w:r w:rsidR="00357770" w:rsidRPr="008048D3">
              <w:rPr>
                <w:rFonts w:ascii="Verdana" w:hAnsi="Verdana" w:cs="Arial"/>
                <w:sz w:val="16"/>
                <w:szCs w:val="16"/>
                <w:lang w:val="lt-LT"/>
              </w:rPr>
              <w:t xml:space="preserve">uotų pelno ir nuostolių ataskaitų </w:t>
            </w:r>
            <w:r w:rsidR="00EA1A53" w:rsidRPr="008048D3">
              <w:rPr>
                <w:rFonts w:ascii="Verdana" w:hAnsi="Verdana" w:cs="Arial"/>
                <w:sz w:val="16"/>
                <w:szCs w:val="16"/>
                <w:lang w:val="lt-LT"/>
              </w:rPr>
              <w:t>(</w:t>
            </w:r>
            <w:r w:rsidR="00357770" w:rsidRPr="008048D3">
              <w:rPr>
                <w:rFonts w:ascii="Verdana" w:hAnsi="Verdana" w:cs="Arial"/>
                <w:sz w:val="16"/>
                <w:szCs w:val="16"/>
                <w:lang w:val="lt-LT"/>
              </w:rPr>
              <w:t xml:space="preserve">tūkst. </w:t>
            </w:r>
            <w:r w:rsidR="00EA1A53" w:rsidRPr="008048D3">
              <w:rPr>
                <w:rFonts w:ascii="Verdana" w:hAnsi="Verdana" w:cs="Arial"/>
                <w:sz w:val="16"/>
                <w:szCs w:val="16"/>
                <w:lang w:val="lt-LT"/>
              </w:rPr>
              <w:t>EUR)</w:t>
            </w:r>
          </w:p>
          <w:p w14:paraId="59E26E2B" w14:textId="77777777" w:rsidR="00725978" w:rsidRPr="008048D3" w:rsidRDefault="00725978" w:rsidP="00725978">
            <w:pPr>
              <w:ind w:right="-32"/>
              <w:jc w:val="both"/>
              <w:rPr>
                <w:rFonts w:ascii="Verdana" w:hAnsi="Verdana" w:cs="Arial"/>
                <w:sz w:val="16"/>
                <w:szCs w:val="16"/>
                <w:lang w:val="lt-LT"/>
              </w:rPr>
            </w:pPr>
          </w:p>
          <w:tbl>
            <w:tblPr>
              <w:tblStyle w:val="TableGridLight1"/>
              <w:tblW w:w="7239" w:type="dxa"/>
              <w:tblLayout w:type="fixed"/>
              <w:tblLook w:val="04A0" w:firstRow="1" w:lastRow="0" w:firstColumn="1" w:lastColumn="0" w:noHBand="0" w:noVBand="1"/>
            </w:tblPr>
            <w:tblGrid>
              <w:gridCol w:w="1582"/>
              <w:gridCol w:w="1127"/>
              <w:gridCol w:w="1206"/>
              <w:gridCol w:w="1072"/>
              <w:gridCol w:w="1072"/>
              <w:gridCol w:w="1180"/>
            </w:tblGrid>
            <w:tr w:rsidR="00725978" w:rsidRPr="008048D3" w14:paraId="2229EFAE" w14:textId="77777777" w:rsidTr="00CA53A5">
              <w:trPr>
                <w:trHeight w:val="911"/>
              </w:trPr>
              <w:tc>
                <w:tcPr>
                  <w:tcW w:w="1582" w:type="dxa"/>
                  <w:tcBorders>
                    <w:top w:val="single" w:sz="12" w:space="0" w:color="auto"/>
                    <w:bottom w:val="double" w:sz="4" w:space="0" w:color="auto"/>
                  </w:tcBorders>
                  <w:shd w:val="clear" w:color="auto" w:fill="D9D9D9" w:themeFill="background1" w:themeFillShade="D9"/>
                  <w:noWrap/>
                  <w:vAlign w:val="center"/>
                  <w:hideMark/>
                </w:tcPr>
                <w:p w14:paraId="5EA95264" w14:textId="51A6BBA3" w:rsidR="00725978" w:rsidRPr="008048D3" w:rsidRDefault="00725978" w:rsidP="00725978">
                  <w:pPr>
                    <w:rPr>
                      <w:rFonts w:ascii="Verdana" w:hAnsi="Verdana" w:cs="Calibri"/>
                      <w:i/>
                      <w:iCs/>
                      <w:sz w:val="16"/>
                      <w:szCs w:val="16"/>
                      <w:lang w:val="lt-LT"/>
                    </w:rPr>
                  </w:pPr>
                </w:p>
              </w:tc>
              <w:tc>
                <w:tcPr>
                  <w:tcW w:w="1127" w:type="dxa"/>
                  <w:tcBorders>
                    <w:top w:val="single" w:sz="12" w:space="0" w:color="auto"/>
                    <w:bottom w:val="double" w:sz="4" w:space="0" w:color="auto"/>
                  </w:tcBorders>
                  <w:shd w:val="clear" w:color="auto" w:fill="D9D9D9" w:themeFill="background1" w:themeFillShade="D9"/>
                  <w:vAlign w:val="center"/>
                </w:tcPr>
                <w:p w14:paraId="20CAC050" w14:textId="598C8EA6" w:rsidR="00725978" w:rsidRPr="008048D3" w:rsidRDefault="00725978" w:rsidP="00725978">
                  <w:pPr>
                    <w:jc w:val="right"/>
                    <w:rPr>
                      <w:rFonts w:ascii="Verdana" w:hAnsi="Verdana" w:cs="Calibri"/>
                      <w:i/>
                      <w:iCs/>
                      <w:sz w:val="16"/>
                      <w:szCs w:val="16"/>
                      <w:lang w:val="lt-LT"/>
                    </w:rPr>
                  </w:pPr>
                  <w:r w:rsidRPr="008048D3">
                    <w:rPr>
                      <w:rFonts w:ascii="Verdana" w:hAnsi="Verdana" w:cs="Calibri"/>
                      <w:i/>
                      <w:iCs/>
                      <w:sz w:val="16"/>
                      <w:szCs w:val="16"/>
                      <w:lang w:val="lt-LT"/>
                    </w:rPr>
                    <w:t xml:space="preserve">2018 m. kovo 31 d. pasibaigęs ketvirtis </w:t>
                  </w:r>
                </w:p>
              </w:tc>
              <w:tc>
                <w:tcPr>
                  <w:tcW w:w="1206" w:type="dxa"/>
                  <w:tcBorders>
                    <w:top w:val="single" w:sz="12" w:space="0" w:color="auto"/>
                    <w:bottom w:val="double" w:sz="4" w:space="0" w:color="auto"/>
                  </w:tcBorders>
                  <w:shd w:val="clear" w:color="auto" w:fill="D9D9D9" w:themeFill="background1" w:themeFillShade="D9"/>
                  <w:vAlign w:val="center"/>
                </w:tcPr>
                <w:p w14:paraId="1D408BD1" w14:textId="45146FE1" w:rsidR="00725978" w:rsidRPr="008048D3" w:rsidRDefault="00725978" w:rsidP="00725978">
                  <w:pPr>
                    <w:jc w:val="right"/>
                    <w:rPr>
                      <w:rFonts w:ascii="Verdana" w:hAnsi="Verdana" w:cs="Calibri"/>
                      <w:i/>
                      <w:iCs/>
                      <w:sz w:val="16"/>
                      <w:szCs w:val="16"/>
                      <w:lang w:val="lt-LT"/>
                    </w:rPr>
                  </w:pPr>
                  <w:r w:rsidRPr="008048D3">
                    <w:rPr>
                      <w:rFonts w:ascii="Verdana" w:hAnsi="Verdana" w:cs="Calibri"/>
                      <w:i/>
                      <w:iCs/>
                      <w:sz w:val="16"/>
                      <w:szCs w:val="16"/>
                      <w:lang w:val="lt-LT"/>
                    </w:rPr>
                    <w:t>2017 m. kovo 31 d. pasibaigęs ketvirtis</w:t>
                  </w:r>
                </w:p>
              </w:tc>
              <w:tc>
                <w:tcPr>
                  <w:tcW w:w="1072" w:type="dxa"/>
                  <w:tcBorders>
                    <w:top w:val="single" w:sz="12" w:space="0" w:color="auto"/>
                    <w:bottom w:val="double" w:sz="4" w:space="0" w:color="auto"/>
                  </w:tcBorders>
                  <w:shd w:val="clear" w:color="auto" w:fill="D9D9D9" w:themeFill="background1" w:themeFillShade="D9"/>
                  <w:hideMark/>
                </w:tcPr>
                <w:p w14:paraId="504080BB" w14:textId="482A8280" w:rsidR="00725978" w:rsidRPr="008048D3" w:rsidRDefault="00725978" w:rsidP="00725978">
                  <w:pPr>
                    <w:jc w:val="right"/>
                    <w:rPr>
                      <w:rFonts w:ascii="Verdana" w:hAnsi="Verdana" w:cs="Calibri"/>
                      <w:i/>
                      <w:iCs/>
                      <w:sz w:val="16"/>
                      <w:szCs w:val="16"/>
                      <w:lang w:val="lt-LT"/>
                    </w:rPr>
                  </w:pPr>
                  <w:r w:rsidRPr="008048D3">
                    <w:rPr>
                      <w:rFonts w:ascii="Verdana" w:hAnsi="Verdana" w:cs="Calibri"/>
                      <w:i/>
                      <w:iCs/>
                      <w:sz w:val="16"/>
                      <w:szCs w:val="16"/>
                      <w:lang w:val="lt-LT"/>
                    </w:rPr>
                    <w:t>2017 m. gruodžio 31 d. pasibaigę metai</w:t>
                  </w:r>
                </w:p>
              </w:tc>
              <w:tc>
                <w:tcPr>
                  <w:tcW w:w="1072" w:type="dxa"/>
                  <w:tcBorders>
                    <w:top w:val="single" w:sz="12" w:space="0" w:color="auto"/>
                    <w:bottom w:val="double" w:sz="4" w:space="0" w:color="000000"/>
                  </w:tcBorders>
                  <w:shd w:val="clear" w:color="auto" w:fill="D9D9D9" w:themeFill="background1" w:themeFillShade="D9"/>
                  <w:hideMark/>
                </w:tcPr>
                <w:p w14:paraId="55975B6D" w14:textId="3E558BA7" w:rsidR="00725978" w:rsidRPr="008048D3" w:rsidRDefault="00725978" w:rsidP="00725978">
                  <w:pPr>
                    <w:jc w:val="right"/>
                    <w:rPr>
                      <w:rFonts w:ascii="Verdana" w:hAnsi="Verdana" w:cs="Calibri"/>
                      <w:i/>
                      <w:iCs/>
                      <w:sz w:val="16"/>
                      <w:szCs w:val="16"/>
                      <w:lang w:val="lt-LT"/>
                    </w:rPr>
                  </w:pPr>
                  <w:r w:rsidRPr="008048D3">
                    <w:rPr>
                      <w:rFonts w:ascii="Verdana" w:hAnsi="Verdana" w:cs="Calibri"/>
                      <w:i/>
                      <w:iCs/>
                      <w:sz w:val="16"/>
                      <w:szCs w:val="16"/>
                      <w:lang w:val="lt-LT"/>
                    </w:rPr>
                    <w:t>2016 m. gruodžio 31 d. pasibaigę metai</w:t>
                  </w:r>
                </w:p>
              </w:tc>
              <w:tc>
                <w:tcPr>
                  <w:tcW w:w="1180" w:type="dxa"/>
                  <w:tcBorders>
                    <w:top w:val="single" w:sz="12" w:space="0" w:color="auto"/>
                    <w:bottom w:val="double" w:sz="4" w:space="0" w:color="auto"/>
                  </w:tcBorders>
                  <w:shd w:val="clear" w:color="auto" w:fill="D9D9D9" w:themeFill="background1" w:themeFillShade="D9"/>
                  <w:hideMark/>
                </w:tcPr>
                <w:p w14:paraId="2A9B481B" w14:textId="62764C38" w:rsidR="00725978" w:rsidRPr="008048D3" w:rsidRDefault="00725978" w:rsidP="00725978">
                  <w:pPr>
                    <w:jc w:val="right"/>
                    <w:rPr>
                      <w:rFonts w:ascii="Verdana" w:hAnsi="Verdana" w:cs="Calibri"/>
                      <w:i/>
                      <w:iCs/>
                      <w:sz w:val="16"/>
                      <w:szCs w:val="16"/>
                      <w:lang w:val="lt-LT"/>
                    </w:rPr>
                  </w:pPr>
                  <w:r w:rsidRPr="008048D3">
                    <w:rPr>
                      <w:rFonts w:ascii="Verdana" w:hAnsi="Verdana" w:cs="Calibri"/>
                      <w:i/>
                      <w:iCs/>
                      <w:sz w:val="16"/>
                      <w:szCs w:val="16"/>
                      <w:lang w:val="lt-LT"/>
                    </w:rPr>
                    <w:t xml:space="preserve">2015 m. gruodžio 31 d. pasibaigę metai </w:t>
                  </w:r>
                </w:p>
              </w:tc>
            </w:tr>
            <w:tr w:rsidR="00725978" w:rsidRPr="008048D3" w14:paraId="2C96B9A0" w14:textId="77777777" w:rsidTr="00CA53A5">
              <w:trPr>
                <w:trHeight w:val="244"/>
              </w:trPr>
              <w:tc>
                <w:tcPr>
                  <w:tcW w:w="1582" w:type="dxa"/>
                  <w:tcBorders>
                    <w:top w:val="double" w:sz="4" w:space="0" w:color="auto"/>
                  </w:tcBorders>
                  <w:noWrap/>
                </w:tcPr>
                <w:p w14:paraId="3DDC9EB5" w14:textId="77777777" w:rsidR="00725978" w:rsidRPr="008048D3" w:rsidRDefault="00725978" w:rsidP="00725978">
                  <w:pPr>
                    <w:jc w:val="both"/>
                    <w:rPr>
                      <w:rFonts w:ascii="Verdana" w:hAnsi="Verdana" w:cs="Calibri"/>
                      <w:color w:val="000000"/>
                      <w:sz w:val="16"/>
                      <w:szCs w:val="16"/>
                      <w:lang w:val="lt-LT" w:eastAsia="et-EE"/>
                    </w:rPr>
                  </w:pPr>
                </w:p>
              </w:tc>
              <w:tc>
                <w:tcPr>
                  <w:tcW w:w="2333" w:type="dxa"/>
                  <w:gridSpan w:val="2"/>
                  <w:tcBorders>
                    <w:top w:val="double" w:sz="4" w:space="0" w:color="auto"/>
                  </w:tcBorders>
                </w:tcPr>
                <w:p w14:paraId="53C15DF2" w14:textId="2C5B2308" w:rsidR="00725978" w:rsidRPr="008048D3" w:rsidRDefault="00725978" w:rsidP="00725978">
                  <w:pPr>
                    <w:jc w:val="center"/>
                    <w:rPr>
                      <w:rFonts w:ascii="Verdana" w:hAnsi="Verdana" w:cs="Calibri"/>
                      <w:i/>
                      <w:color w:val="000000"/>
                      <w:sz w:val="16"/>
                      <w:szCs w:val="16"/>
                      <w:lang w:val="lt-LT" w:eastAsia="et-EE"/>
                    </w:rPr>
                  </w:pPr>
                  <w:r w:rsidRPr="008048D3">
                    <w:rPr>
                      <w:rFonts w:ascii="Verdana" w:hAnsi="Verdana" w:cs="Calibri"/>
                      <w:i/>
                      <w:color w:val="000000"/>
                      <w:sz w:val="16"/>
                      <w:szCs w:val="16"/>
                      <w:lang w:val="lt-LT" w:eastAsia="et-EE"/>
                    </w:rPr>
                    <w:t xml:space="preserve">neaudituota </w:t>
                  </w:r>
                </w:p>
              </w:tc>
              <w:tc>
                <w:tcPr>
                  <w:tcW w:w="3324" w:type="dxa"/>
                  <w:gridSpan w:val="3"/>
                  <w:tcBorders>
                    <w:top w:val="double" w:sz="4" w:space="0" w:color="auto"/>
                  </w:tcBorders>
                  <w:noWrap/>
                </w:tcPr>
                <w:p w14:paraId="3C3DDEBC" w14:textId="18738D25" w:rsidR="00725978" w:rsidRPr="008048D3" w:rsidRDefault="00725978" w:rsidP="00725978">
                  <w:pPr>
                    <w:jc w:val="center"/>
                    <w:rPr>
                      <w:rFonts w:ascii="Verdana" w:hAnsi="Verdana" w:cs="Calibri"/>
                      <w:i/>
                      <w:color w:val="000000"/>
                      <w:sz w:val="16"/>
                      <w:szCs w:val="16"/>
                      <w:lang w:val="lt-LT" w:eastAsia="et-EE"/>
                    </w:rPr>
                  </w:pPr>
                  <w:r w:rsidRPr="008048D3">
                    <w:rPr>
                      <w:rFonts w:ascii="Verdana" w:hAnsi="Verdana" w:cs="Calibri"/>
                      <w:i/>
                      <w:color w:val="000000"/>
                      <w:sz w:val="16"/>
                      <w:szCs w:val="16"/>
                      <w:lang w:val="lt-LT" w:eastAsia="et-EE"/>
                    </w:rPr>
                    <w:t>audituota</w:t>
                  </w:r>
                </w:p>
              </w:tc>
            </w:tr>
            <w:tr w:rsidR="00725978" w:rsidRPr="008048D3" w14:paraId="74F0AF6F" w14:textId="77777777" w:rsidTr="00725978">
              <w:trPr>
                <w:trHeight w:val="303"/>
              </w:trPr>
              <w:tc>
                <w:tcPr>
                  <w:tcW w:w="1582" w:type="dxa"/>
                  <w:tcBorders>
                    <w:top w:val="double" w:sz="4" w:space="0" w:color="auto"/>
                  </w:tcBorders>
                  <w:noWrap/>
                  <w:hideMark/>
                </w:tcPr>
                <w:p w14:paraId="2D5BF51C" w14:textId="1971A056" w:rsidR="00725978" w:rsidRPr="008048D3" w:rsidRDefault="00725978" w:rsidP="00725978">
                  <w:pPr>
                    <w:jc w:val="both"/>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 xml:space="preserve">Pajamos </w:t>
                  </w:r>
                </w:p>
              </w:tc>
              <w:tc>
                <w:tcPr>
                  <w:tcW w:w="1127" w:type="dxa"/>
                  <w:tcBorders>
                    <w:top w:val="double" w:sz="4" w:space="0" w:color="auto"/>
                  </w:tcBorders>
                </w:tcPr>
                <w:p w14:paraId="3BD6FFAD" w14:textId="46042758"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11 492</w:t>
                  </w:r>
                </w:p>
              </w:tc>
              <w:tc>
                <w:tcPr>
                  <w:tcW w:w="1206" w:type="dxa"/>
                  <w:tcBorders>
                    <w:top w:val="double" w:sz="4" w:space="0" w:color="auto"/>
                  </w:tcBorders>
                </w:tcPr>
                <w:p w14:paraId="421B54C8" w14:textId="7221D098"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12 107</w:t>
                  </w:r>
                </w:p>
              </w:tc>
              <w:tc>
                <w:tcPr>
                  <w:tcW w:w="1072" w:type="dxa"/>
                  <w:tcBorders>
                    <w:top w:val="double" w:sz="4" w:space="0" w:color="auto"/>
                  </w:tcBorders>
                  <w:noWrap/>
                  <w:hideMark/>
                </w:tcPr>
                <w:p w14:paraId="2D905AB1" w14:textId="288D43C3"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48 784</w:t>
                  </w:r>
                </w:p>
              </w:tc>
              <w:tc>
                <w:tcPr>
                  <w:tcW w:w="1072" w:type="dxa"/>
                  <w:tcBorders>
                    <w:top w:val="double" w:sz="4" w:space="0" w:color="000000"/>
                  </w:tcBorders>
                  <w:noWrap/>
                  <w:hideMark/>
                </w:tcPr>
                <w:p w14:paraId="15F41092" w14:textId="55E6909B"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39 630</w:t>
                  </w:r>
                </w:p>
              </w:tc>
              <w:tc>
                <w:tcPr>
                  <w:tcW w:w="1180" w:type="dxa"/>
                  <w:tcBorders>
                    <w:top w:val="double" w:sz="4" w:space="0" w:color="auto"/>
                  </w:tcBorders>
                  <w:noWrap/>
                  <w:hideMark/>
                </w:tcPr>
                <w:p w14:paraId="4F2C6377" w14:textId="6FC9F174"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47 425</w:t>
                  </w:r>
                </w:p>
              </w:tc>
            </w:tr>
            <w:tr w:rsidR="00725978" w:rsidRPr="008048D3" w14:paraId="03DA177A" w14:textId="77777777" w:rsidTr="00725978">
              <w:trPr>
                <w:trHeight w:val="303"/>
              </w:trPr>
              <w:tc>
                <w:tcPr>
                  <w:tcW w:w="1582" w:type="dxa"/>
                  <w:noWrap/>
                  <w:vAlign w:val="bottom"/>
                  <w:hideMark/>
                </w:tcPr>
                <w:p w14:paraId="5087220B" w14:textId="7F812652" w:rsidR="00725978" w:rsidRPr="008048D3" w:rsidRDefault="00725978" w:rsidP="00725978">
                  <w:pPr>
                    <w:jc w:val="both"/>
                    <w:rPr>
                      <w:rFonts w:ascii="Verdana" w:hAnsi="Verdana" w:cs="Calibri"/>
                      <w:color w:val="000000"/>
                      <w:sz w:val="16"/>
                      <w:szCs w:val="16"/>
                      <w:lang w:val="lt-LT" w:eastAsia="et-EE"/>
                    </w:rPr>
                  </w:pPr>
                  <w:r w:rsidRPr="008048D3">
                    <w:rPr>
                      <w:rFonts w:ascii="Verdana" w:hAnsi="Verdana" w:cs="Calibri"/>
                      <w:sz w:val="16"/>
                      <w:szCs w:val="16"/>
                      <w:lang w:val="lt-LT"/>
                    </w:rPr>
                    <w:t xml:space="preserve">Veiklos pelnas </w:t>
                  </w:r>
                </w:p>
              </w:tc>
              <w:tc>
                <w:tcPr>
                  <w:tcW w:w="1127" w:type="dxa"/>
                </w:tcPr>
                <w:p w14:paraId="6B31EF6A" w14:textId="77777777" w:rsidR="00725978" w:rsidRPr="008048D3" w:rsidRDefault="00725978" w:rsidP="00725978">
                  <w:pPr>
                    <w:jc w:val="right"/>
                    <w:rPr>
                      <w:rFonts w:ascii="Verdana" w:hAnsi="Verdana" w:cs="Calibri"/>
                      <w:sz w:val="16"/>
                      <w:szCs w:val="16"/>
                      <w:lang w:val="lt-LT"/>
                    </w:rPr>
                  </w:pPr>
                  <w:r w:rsidRPr="008048D3">
                    <w:rPr>
                      <w:rFonts w:ascii="Verdana" w:hAnsi="Verdana" w:cs="Calibri"/>
                      <w:sz w:val="16"/>
                      <w:szCs w:val="16"/>
                      <w:lang w:val="lt-LT"/>
                    </w:rPr>
                    <w:t>989</w:t>
                  </w:r>
                </w:p>
              </w:tc>
              <w:tc>
                <w:tcPr>
                  <w:tcW w:w="1206" w:type="dxa"/>
                </w:tcPr>
                <w:p w14:paraId="75BA932A" w14:textId="77777777" w:rsidR="00725978" w:rsidRPr="008048D3" w:rsidRDefault="00725978" w:rsidP="00725978">
                  <w:pPr>
                    <w:jc w:val="right"/>
                    <w:rPr>
                      <w:rFonts w:ascii="Verdana" w:hAnsi="Verdana" w:cs="Calibri"/>
                      <w:sz w:val="16"/>
                      <w:szCs w:val="16"/>
                      <w:lang w:val="lt-LT"/>
                    </w:rPr>
                  </w:pPr>
                  <w:r w:rsidRPr="008048D3">
                    <w:rPr>
                      <w:rFonts w:ascii="Verdana" w:hAnsi="Verdana" w:cs="Calibri"/>
                      <w:sz w:val="16"/>
                      <w:szCs w:val="16"/>
                      <w:lang w:val="lt-LT"/>
                    </w:rPr>
                    <w:t>289</w:t>
                  </w:r>
                </w:p>
              </w:tc>
              <w:tc>
                <w:tcPr>
                  <w:tcW w:w="1072" w:type="dxa"/>
                  <w:noWrap/>
                  <w:hideMark/>
                </w:tcPr>
                <w:p w14:paraId="11ACB490" w14:textId="1FC0FC08"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sz w:val="16"/>
                      <w:szCs w:val="16"/>
                      <w:lang w:val="lt-LT"/>
                    </w:rPr>
                    <w:t>6 697</w:t>
                  </w:r>
                </w:p>
              </w:tc>
              <w:tc>
                <w:tcPr>
                  <w:tcW w:w="1072" w:type="dxa"/>
                  <w:noWrap/>
                  <w:hideMark/>
                </w:tcPr>
                <w:p w14:paraId="2997A6FF" w14:textId="709DD491"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sz w:val="16"/>
                      <w:szCs w:val="16"/>
                      <w:lang w:val="lt-LT"/>
                    </w:rPr>
                    <w:t>3 890</w:t>
                  </w:r>
                </w:p>
              </w:tc>
              <w:tc>
                <w:tcPr>
                  <w:tcW w:w="1180" w:type="dxa"/>
                  <w:noWrap/>
                  <w:hideMark/>
                </w:tcPr>
                <w:p w14:paraId="39EE3E55" w14:textId="393F8D49"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sz w:val="16"/>
                      <w:szCs w:val="16"/>
                      <w:lang w:val="lt-LT"/>
                    </w:rPr>
                    <w:t>8 129</w:t>
                  </w:r>
                </w:p>
              </w:tc>
            </w:tr>
            <w:tr w:rsidR="00725978" w:rsidRPr="008048D3" w14:paraId="476807E2" w14:textId="77777777" w:rsidTr="00725978">
              <w:trPr>
                <w:trHeight w:val="303"/>
              </w:trPr>
              <w:tc>
                <w:tcPr>
                  <w:tcW w:w="1582" w:type="dxa"/>
                  <w:noWrap/>
                  <w:vAlign w:val="bottom"/>
                  <w:hideMark/>
                </w:tcPr>
                <w:p w14:paraId="60C35991" w14:textId="0134D97A" w:rsidR="00725978" w:rsidRPr="008048D3" w:rsidRDefault="00725978" w:rsidP="00725978">
                  <w:pPr>
                    <w:jc w:val="both"/>
                    <w:rPr>
                      <w:rFonts w:ascii="Verdana" w:hAnsi="Verdana" w:cs="Calibri"/>
                      <w:color w:val="000000"/>
                      <w:sz w:val="16"/>
                      <w:szCs w:val="16"/>
                      <w:lang w:val="lt-LT" w:eastAsia="et-EE"/>
                    </w:rPr>
                  </w:pPr>
                  <w:r w:rsidRPr="008048D3">
                    <w:rPr>
                      <w:rFonts w:ascii="Verdana" w:hAnsi="Verdana" w:cs="Calibri"/>
                      <w:sz w:val="16"/>
                      <w:szCs w:val="16"/>
                      <w:lang w:val="lt-LT"/>
                    </w:rPr>
                    <w:t xml:space="preserve">Pelnas (nuostoliai) prieš apmokestinimą </w:t>
                  </w:r>
                </w:p>
              </w:tc>
              <w:tc>
                <w:tcPr>
                  <w:tcW w:w="1127" w:type="dxa"/>
                </w:tcPr>
                <w:p w14:paraId="414FFCFF" w14:textId="77777777" w:rsidR="00725978" w:rsidRPr="008048D3" w:rsidRDefault="00725978" w:rsidP="00725978">
                  <w:pPr>
                    <w:jc w:val="right"/>
                    <w:rPr>
                      <w:rFonts w:ascii="Verdana" w:hAnsi="Verdana" w:cs="Calibri"/>
                      <w:sz w:val="16"/>
                      <w:szCs w:val="16"/>
                      <w:lang w:val="lt-LT"/>
                    </w:rPr>
                  </w:pPr>
                  <w:r w:rsidRPr="008048D3">
                    <w:rPr>
                      <w:rFonts w:ascii="Verdana" w:hAnsi="Verdana" w:cs="Calibri"/>
                      <w:sz w:val="16"/>
                      <w:szCs w:val="16"/>
                      <w:lang w:val="lt-LT"/>
                    </w:rPr>
                    <w:t>625</w:t>
                  </w:r>
                </w:p>
              </w:tc>
              <w:tc>
                <w:tcPr>
                  <w:tcW w:w="1206" w:type="dxa"/>
                </w:tcPr>
                <w:p w14:paraId="34A99D00" w14:textId="77777777" w:rsidR="00725978" w:rsidRPr="008048D3" w:rsidRDefault="00725978" w:rsidP="00725978">
                  <w:pPr>
                    <w:jc w:val="right"/>
                    <w:rPr>
                      <w:rFonts w:ascii="Verdana" w:hAnsi="Verdana" w:cs="Calibri"/>
                      <w:sz w:val="16"/>
                      <w:szCs w:val="16"/>
                      <w:lang w:val="lt-LT"/>
                    </w:rPr>
                  </w:pPr>
                  <w:r w:rsidRPr="008048D3">
                    <w:rPr>
                      <w:rFonts w:ascii="Verdana" w:hAnsi="Verdana" w:cs="Calibri"/>
                      <w:sz w:val="16"/>
                      <w:szCs w:val="16"/>
                      <w:lang w:val="lt-LT"/>
                    </w:rPr>
                    <w:t>17</w:t>
                  </w:r>
                </w:p>
              </w:tc>
              <w:tc>
                <w:tcPr>
                  <w:tcW w:w="1072" w:type="dxa"/>
                  <w:noWrap/>
                  <w:hideMark/>
                </w:tcPr>
                <w:p w14:paraId="69F8E516" w14:textId="0A9A3F08"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sz w:val="16"/>
                      <w:szCs w:val="16"/>
                      <w:lang w:val="lt-LT"/>
                    </w:rPr>
                    <w:t>4 793</w:t>
                  </w:r>
                </w:p>
              </w:tc>
              <w:tc>
                <w:tcPr>
                  <w:tcW w:w="1072" w:type="dxa"/>
                  <w:noWrap/>
                  <w:hideMark/>
                </w:tcPr>
                <w:p w14:paraId="0C795FE7" w14:textId="325DD81F"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sz w:val="16"/>
                      <w:szCs w:val="16"/>
                      <w:lang w:val="lt-LT"/>
                    </w:rPr>
                    <w:t>1 792</w:t>
                  </w:r>
                </w:p>
              </w:tc>
              <w:tc>
                <w:tcPr>
                  <w:tcW w:w="1180" w:type="dxa"/>
                  <w:noWrap/>
                  <w:hideMark/>
                </w:tcPr>
                <w:p w14:paraId="2760CB67" w14:textId="04587E89"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sz w:val="16"/>
                      <w:szCs w:val="16"/>
                      <w:lang w:val="lt-LT"/>
                    </w:rPr>
                    <w:t>6 128</w:t>
                  </w:r>
                </w:p>
              </w:tc>
            </w:tr>
            <w:tr w:rsidR="00725978" w:rsidRPr="008048D3" w14:paraId="73D1E137" w14:textId="77777777" w:rsidTr="00725978">
              <w:trPr>
                <w:trHeight w:val="303"/>
              </w:trPr>
              <w:tc>
                <w:tcPr>
                  <w:tcW w:w="1582" w:type="dxa"/>
                  <w:noWrap/>
                  <w:hideMark/>
                </w:tcPr>
                <w:p w14:paraId="7D033E4B" w14:textId="6B3FA0D8" w:rsidR="00725978" w:rsidRPr="008048D3" w:rsidRDefault="00725978" w:rsidP="00725978">
                  <w:pPr>
                    <w:jc w:val="both"/>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 xml:space="preserve">Grynasis pelnas (nuostoliai) už metus </w:t>
                  </w:r>
                </w:p>
              </w:tc>
              <w:tc>
                <w:tcPr>
                  <w:tcW w:w="1127" w:type="dxa"/>
                </w:tcPr>
                <w:p w14:paraId="0079B13F" w14:textId="77777777"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625</w:t>
                  </w:r>
                </w:p>
              </w:tc>
              <w:tc>
                <w:tcPr>
                  <w:tcW w:w="1206" w:type="dxa"/>
                </w:tcPr>
                <w:p w14:paraId="579163E0" w14:textId="77777777"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17</w:t>
                  </w:r>
                </w:p>
              </w:tc>
              <w:tc>
                <w:tcPr>
                  <w:tcW w:w="1072" w:type="dxa"/>
                  <w:noWrap/>
                  <w:hideMark/>
                </w:tcPr>
                <w:p w14:paraId="7FB165BC" w14:textId="27264BA5"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5 015</w:t>
                  </w:r>
                </w:p>
              </w:tc>
              <w:tc>
                <w:tcPr>
                  <w:tcW w:w="1072" w:type="dxa"/>
                  <w:noWrap/>
                  <w:hideMark/>
                </w:tcPr>
                <w:p w14:paraId="5398CF0A" w14:textId="7FE2B90E"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2 145</w:t>
                  </w:r>
                </w:p>
              </w:tc>
              <w:tc>
                <w:tcPr>
                  <w:tcW w:w="1180" w:type="dxa"/>
                  <w:noWrap/>
                  <w:hideMark/>
                </w:tcPr>
                <w:p w14:paraId="284B8249" w14:textId="7CFCB6EC" w:rsidR="00725978" w:rsidRPr="008048D3" w:rsidRDefault="00725978" w:rsidP="00725978">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5 559</w:t>
                  </w:r>
                </w:p>
              </w:tc>
            </w:tr>
          </w:tbl>
          <w:p w14:paraId="55B9EBBF" w14:textId="6F5A411F" w:rsidR="00725978" w:rsidRPr="008048D3" w:rsidRDefault="00725978" w:rsidP="00725978">
            <w:pPr>
              <w:tabs>
                <w:tab w:val="left" w:pos="991"/>
                <w:tab w:val="left" w:pos="7848"/>
              </w:tabs>
              <w:rPr>
                <w:rFonts w:ascii="Verdana" w:hAnsi="Verdana"/>
                <w:i/>
                <w:sz w:val="16"/>
                <w:szCs w:val="16"/>
                <w:lang w:val="lt-LT"/>
              </w:rPr>
            </w:pPr>
            <w:r w:rsidRPr="008048D3">
              <w:rPr>
                <w:rFonts w:ascii="Verdana" w:hAnsi="Verdana"/>
                <w:i/>
                <w:sz w:val="16"/>
                <w:szCs w:val="16"/>
                <w:lang w:val="lt-LT"/>
              </w:rPr>
              <w:t xml:space="preserve">Šaltiniai: Konsoliduotos finansinės ataskaitos, Konsoliduota tarpinė informacija </w:t>
            </w:r>
          </w:p>
          <w:p w14:paraId="5895E676" w14:textId="77777777" w:rsidR="00725978" w:rsidRPr="008048D3" w:rsidRDefault="00725978" w:rsidP="00725978">
            <w:pPr>
              <w:tabs>
                <w:tab w:val="left" w:pos="991"/>
                <w:tab w:val="left" w:pos="7848"/>
              </w:tabs>
              <w:rPr>
                <w:rFonts w:ascii="Verdana" w:hAnsi="Verdana"/>
                <w:i/>
                <w:sz w:val="16"/>
                <w:szCs w:val="16"/>
                <w:lang w:val="lt-LT"/>
              </w:rPr>
            </w:pPr>
          </w:p>
          <w:p w14:paraId="5E6B5573" w14:textId="3D513145" w:rsidR="00625360" w:rsidRPr="008048D3" w:rsidRDefault="00847F92" w:rsidP="00184AE3">
            <w:pPr>
              <w:tabs>
                <w:tab w:val="left" w:pos="991"/>
                <w:tab w:val="left" w:pos="7848"/>
              </w:tabs>
              <w:jc w:val="both"/>
              <w:rPr>
                <w:rFonts w:ascii="Verdana" w:hAnsi="Verdana" w:cs="Arial"/>
                <w:sz w:val="16"/>
                <w:szCs w:val="16"/>
                <w:lang w:val="lt-LT"/>
              </w:rPr>
            </w:pPr>
            <w:r w:rsidRPr="008048D3">
              <w:rPr>
                <w:rFonts w:ascii="Verdana" w:hAnsi="Verdana" w:cs="Arial"/>
                <w:sz w:val="16"/>
                <w:szCs w:val="16"/>
                <w:lang w:val="lt-LT"/>
              </w:rPr>
              <w:t>Atrinkta f</w:t>
            </w:r>
            <w:r w:rsidR="00357770" w:rsidRPr="008048D3">
              <w:rPr>
                <w:rFonts w:ascii="Verdana" w:hAnsi="Verdana" w:cs="Arial"/>
                <w:sz w:val="16"/>
                <w:szCs w:val="16"/>
                <w:lang w:val="lt-LT"/>
              </w:rPr>
              <w:t xml:space="preserve">inansinė informacija iš Grupės </w:t>
            </w:r>
            <w:r w:rsidR="00834447" w:rsidRPr="008048D3">
              <w:rPr>
                <w:rFonts w:ascii="Verdana" w:hAnsi="Verdana" w:cs="Arial"/>
                <w:sz w:val="16"/>
                <w:szCs w:val="16"/>
                <w:lang w:val="lt-LT"/>
              </w:rPr>
              <w:t xml:space="preserve">audituotų </w:t>
            </w:r>
            <w:r w:rsidR="00725978" w:rsidRPr="008048D3">
              <w:rPr>
                <w:rFonts w:ascii="Verdana" w:hAnsi="Verdana" w:cs="Arial"/>
                <w:sz w:val="16"/>
                <w:szCs w:val="16"/>
                <w:lang w:val="lt-LT"/>
              </w:rPr>
              <w:t xml:space="preserve">metinių ir neaudituotų tarpinių </w:t>
            </w:r>
            <w:r w:rsidR="00357770" w:rsidRPr="008048D3">
              <w:rPr>
                <w:rFonts w:ascii="Verdana" w:hAnsi="Verdana" w:cs="Arial"/>
                <w:sz w:val="16"/>
                <w:szCs w:val="16"/>
                <w:lang w:val="lt-LT"/>
              </w:rPr>
              <w:t xml:space="preserve">konsoliduotų balansų </w:t>
            </w:r>
            <w:r w:rsidR="00B94001" w:rsidRPr="008048D3">
              <w:rPr>
                <w:rFonts w:ascii="Verdana" w:hAnsi="Verdana" w:cs="Arial"/>
                <w:sz w:val="16"/>
                <w:szCs w:val="16"/>
                <w:lang w:val="lt-LT"/>
              </w:rPr>
              <w:t>(</w:t>
            </w:r>
            <w:r w:rsidR="00357770" w:rsidRPr="008048D3">
              <w:rPr>
                <w:rFonts w:ascii="Verdana" w:hAnsi="Verdana" w:cs="Arial"/>
                <w:sz w:val="16"/>
                <w:szCs w:val="16"/>
                <w:lang w:val="lt-LT"/>
              </w:rPr>
              <w:t xml:space="preserve">tūkst. </w:t>
            </w:r>
            <w:r w:rsidR="00B94001" w:rsidRPr="008048D3">
              <w:rPr>
                <w:rFonts w:ascii="Verdana" w:hAnsi="Verdana" w:cs="Arial"/>
                <w:sz w:val="16"/>
                <w:szCs w:val="16"/>
                <w:lang w:val="lt-LT"/>
              </w:rPr>
              <w:t>EUR)</w:t>
            </w:r>
          </w:p>
          <w:p w14:paraId="1E11478D" w14:textId="4B05728E" w:rsidR="00D73F88" w:rsidRPr="008048D3" w:rsidRDefault="00D73F88" w:rsidP="00C9425E">
            <w:pPr>
              <w:tabs>
                <w:tab w:val="left" w:pos="991"/>
                <w:tab w:val="left" w:pos="7848"/>
              </w:tabs>
              <w:rPr>
                <w:rFonts w:ascii="Verdana" w:hAnsi="Verdana"/>
                <w:sz w:val="16"/>
                <w:szCs w:val="16"/>
                <w:lang w:val="lt-LT"/>
              </w:rPr>
            </w:pPr>
          </w:p>
          <w:tbl>
            <w:tblPr>
              <w:tblStyle w:val="TableGridLight1"/>
              <w:tblW w:w="7250" w:type="dxa"/>
              <w:tblLayout w:type="fixed"/>
              <w:tblLook w:val="04A0" w:firstRow="1" w:lastRow="0" w:firstColumn="1" w:lastColumn="0" w:noHBand="0" w:noVBand="1"/>
            </w:tblPr>
            <w:tblGrid>
              <w:gridCol w:w="2808"/>
              <w:gridCol w:w="1233"/>
              <w:gridCol w:w="1078"/>
              <w:gridCol w:w="1078"/>
              <w:gridCol w:w="1053"/>
            </w:tblGrid>
            <w:tr w:rsidR="008D2A19" w:rsidRPr="008048D3" w14:paraId="4918D013" w14:textId="77777777" w:rsidTr="008D2A19">
              <w:trPr>
                <w:trHeight w:val="497"/>
              </w:trPr>
              <w:tc>
                <w:tcPr>
                  <w:tcW w:w="2808" w:type="dxa"/>
                  <w:tcBorders>
                    <w:top w:val="single" w:sz="12" w:space="0" w:color="auto"/>
                    <w:bottom w:val="double" w:sz="4" w:space="0" w:color="000000"/>
                  </w:tcBorders>
                  <w:shd w:val="clear" w:color="auto" w:fill="D9D9D9" w:themeFill="background1" w:themeFillShade="D9"/>
                  <w:noWrap/>
                  <w:vAlign w:val="center"/>
                </w:tcPr>
                <w:p w14:paraId="73055638" w14:textId="005C6C60" w:rsidR="008D2A19" w:rsidRPr="008048D3" w:rsidRDefault="008D2A19" w:rsidP="008D2A19">
                  <w:pPr>
                    <w:rPr>
                      <w:rFonts w:ascii="Verdana" w:hAnsi="Verdana" w:cs="Calibri"/>
                      <w:i/>
                      <w:iCs/>
                      <w:color w:val="000000"/>
                      <w:sz w:val="16"/>
                      <w:szCs w:val="16"/>
                      <w:lang w:val="lt-LT" w:eastAsia="et-EE"/>
                    </w:rPr>
                  </w:pPr>
                </w:p>
              </w:tc>
              <w:tc>
                <w:tcPr>
                  <w:tcW w:w="1233" w:type="dxa"/>
                  <w:tcBorders>
                    <w:top w:val="single" w:sz="12" w:space="0" w:color="auto"/>
                    <w:bottom w:val="double" w:sz="4" w:space="0" w:color="000000"/>
                  </w:tcBorders>
                  <w:shd w:val="clear" w:color="auto" w:fill="D9D9D9" w:themeFill="background1" w:themeFillShade="D9"/>
                  <w:vAlign w:val="center"/>
                </w:tcPr>
                <w:p w14:paraId="2EC9A731" w14:textId="3972B37C" w:rsidR="008D2A19" w:rsidRPr="008048D3" w:rsidRDefault="008D2A19" w:rsidP="008D2A19">
                  <w:pPr>
                    <w:jc w:val="right"/>
                    <w:rPr>
                      <w:rFonts w:ascii="Verdana" w:hAnsi="Verdana" w:cs="Calibri"/>
                      <w:i/>
                      <w:iCs/>
                      <w:color w:val="000000"/>
                      <w:sz w:val="16"/>
                      <w:szCs w:val="16"/>
                      <w:lang w:val="lt-LT" w:eastAsia="et-EE"/>
                    </w:rPr>
                  </w:pPr>
                  <w:r w:rsidRPr="008048D3">
                    <w:rPr>
                      <w:rFonts w:ascii="Verdana" w:hAnsi="Verdana" w:cs="Calibri"/>
                      <w:i/>
                      <w:iCs/>
                      <w:sz w:val="16"/>
                      <w:szCs w:val="16"/>
                      <w:lang w:val="lt-LT"/>
                    </w:rPr>
                    <w:t xml:space="preserve">2018 m. kovo 31 d. pasibaigęs ketvirtis </w:t>
                  </w:r>
                </w:p>
              </w:tc>
              <w:tc>
                <w:tcPr>
                  <w:tcW w:w="1078" w:type="dxa"/>
                  <w:tcBorders>
                    <w:top w:val="single" w:sz="12" w:space="0" w:color="auto"/>
                    <w:bottom w:val="double" w:sz="4" w:space="0" w:color="000000"/>
                  </w:tcBorders>
                  <w:shd w:val="clear" w:color="auto" w:fill="D9D9D9" w:themeFill="background1" w:themeFillShade="D9"/>
                  <w:hideMark/>
                </w:tcPr>
                <w:p w14:paraId="091FDE97" w14:textId="6104D764" w:rsidR="008D2A19" w:rsidRPr="008048D3" w:rsidRDefault="008D2A19" w:rsidP="008D2A19">
                  <w:pPr>
                    <w:jc w:val="right"/>
                    <w:rPr>
                      <w:rFonts w:ascii="Verdana" w:hAnsi="Verdana" w:cs="Calibri"/>
                      <w:i/>
                      <w:iCs/>
                      <w:color w:val="000000"/>
                      <w:sz w:val="16"/>
                      <w:szCs w:val="16"/>
                      <w:lang w:val="lt-LT" w:eastAsia="et-EE"/>
                    </w:rPr>
                  </w:pPr>
                  <w:r w:rsidRPr="008048D3">
                    <w:rPr>
                      <w:rFonts w:ascii="Verdana" w:hAnsi="Verdana" w:cs="Calibri"/>
                      <w:i/>
                      <w:iCs/>
                      <w:sz w:val="16"/>
                      <w:szCs w:val="16"/>
                      <w:lang w:val="lt-LT"/>
                    </w:rPr>
                    <w:t>2017 m. gruodžio 31 d. pasibaigę metai</w:t>
                  </w:r>
                </w:p>
              </w:tc>
              <w:tc>
                <w:tcPr>
                  <w:tcW w:w="1078" w:type="dxa"/>
                  <w:tcBorders>
                    <w:top w:val="single" w:sz="12" w:space="0" w:color="auto"/>
                    <w:bottom w:val="double" w:sz="4" w:space="0" w:color="000000"/>
                  </w:tcBorders>
                  <w:shd w:val="clear" w:color="auto" w:fill="D9D9D9" w:themeFill="background1" w:themeFillShade="D9"/>
                  <w:hideMark/>
                </w:tcPr>
                <w:p w14:paraId="26AB0DE4" w14:textId="40619A70" w:rsidR="008D2A19" w:rsidRPr="008048D3" w:rsidRDefault="008D2A19" w:rsidP="008D2A19">
                  <w:pPr>
                    <w:jc w:val="right"/>
                    <w:rPr>
                      <w:rFonts w:ascii="Verdana" w:hAnsi="Verdana" w:cs="Calibri"/>
                      <w:i/>
                      <w:iCs/>
                      <w:color w:val="000000"/>
                      <w:sz w:val="16"/>
                      <w:szCs w:val="16"/>
                      <w:lang w:val="lt-LT" w:eastAsia="et-EE"/>
                    </w:rPr>
                  </w:pPr>
                  <w:r w:rsidRPr="008048D3">
                    <w:rPr>
                      <w:rFonts w:ascii="Verdana" w:hAnsi="Verdana" w:cs="Calibri"/>
                      <w:i/>
                      <w:iCs/>
                      <w:sz w:val="16"/>
                      <w:szCs w:val="16"/>
                      <w:lang w:val="lt-LT"/>
                    </w:rPr>
                    <w:t>2016 m. gruodžio 31 d. pasibaigę metai</w:t>
                  </w:r>
                </w:p>
              </w:tc>
              <w:tc>
                <w:tcPr>
                  <w:tcW w:w="1053" w:type="dxa"/>
                  <w:tcBorders>
                    <w:top w:val="single" w:sz="12" w:space="0" w:color="auto"/>
                    <w:bottom w:val="double" w:sz="4" w:space="0" w:color="000000"/>
                  </w:tcBorders>
                  <w:shd w:val="clear" w:color="auto" w:fill="D9D9D9" w:themeFill="background1" w:themeFillShade="D9"/>
                  <w:hideMark/>
                </w:tcPr>
                <w:p w14:paraId="0B409ECD" w14:textId="5B507BB5" w:rsidR="008D2A19" w:rsidRPr="008048D3" w:rsidRDefault="008D2A19" w:rsidP="008D2A19">
                  <w:pPr>
                    <w:jc w:val="right"/>
                    <w:rPr>
                      <w:rFonts w:ascii="Verdana" w:hAnsi="Verdana" w:cs="Calibri"/>
                      <w:i/>
                      <w:iCs/>
                      <w:color w:val="000000"/>
                      <w:sz w:val="16"/>
                      <w:szCs w:val="16"/>
                      <w:lang w:val="lt-LT" w:eastAsia="et-EE"/>
                    </w:rPr>
                  </w:pPr>
                  <w:r w:rsidRPr="008048D3">
                    <w:rPr>
                      <w:rFonts w:ascii="Verdana" w:hAnsi="Verdana" w:cs="Calibri"/>
                      <w:i/>
                      <w:iCs/>
                      <w:sz w:val="16"/>
                      <w:szCs w:val="16"/>
                      <w:lang w:val="lt-LT"/>
                    </w:rPr>
                    <w:t xml:space="preserve">2015 m. gruodžio 31 d. pasibaigę metai </w:t>
                  </w:r>
                </w:p>
              </w:tc>
            </w:tr>
            <w:tr w:rsidR="008D2A19" w:rsidRPr="008048D3" w14:paraId="1D457DA9" w14:textId="77777777" w:rsidTr="00CA53A5">
              <w:trPr>
                <w:trHeight w:val="250"/>
              </w:trPr>
              <w:tc>
                <w:tcPr>
                  <w:tcW w:w="2808" w:type="dxa"/>
                  <w:tcBorders>
                    <w:top w:val="double" w:sz="4" w:space="0" w:color="000000"/>
                  </w:tcBorders>
                </w:tcPr>
                <w:p w14:paraId="5742CAF2" w14:textId="77777777" w:rsidR="008D2A19" w:rsidRPr="008048D3" w:rsidRDefault="008D2A19" w:rsidP="008D2A19">
                  <w:pPr>
                    <w:jc w:val="both"/>
                    <w:rPr>
                      <w:rFonts w:ascii="Verdana" w:hAnsi="Verdana" w:cs="Calibri"/>
                      <w:color w:val="000000"/>
                      <w:sz w:val="16"/>
                      <w:szCs w:val="16"/>
                      <w:lang w:val="lt-LT" w:eastAsia="et-EE"/>
                    </w:rPr>
                  </w:pPr>
                </w:p>
              </w:tc>
              <w:tc>
                <w:tcPr>
                  <w:tcW w:w="1233" w:type="dxa"/>
                  <w:tcBorders>
                    <w:top w:val="double" w:sz="4" w:space="0" w:color="000000"/>
                  </w:tcBorders>
                </w:tcPr>
                <w:p w14:paraId="38707C28" w14:textId="6386A765" w:rsidR="008D2A19" w:rsidRPr="008048D3" w:rsidRDefault="008D2A19" w:rsidP="008D2A19">
                  <w:pPr>
                    <w:jc w:val="right"/>
                    <w:rPr>
                      <w:rFonts w:ascii="Verdana" w:hAnsi="Verdana" w:cs="Calibri"/>
                      <w:color w:val="000000"/>
                      <w:sz w:val="16"/>
                      <w:szCs w:val="16"/>
                      <w:lang w:val="lt-LT" w:eastAsia="et-EE"/>
                    </w:rPr>
                  </w:pPr>
                  <w:r w:rsidRPr="008048D3">
                    <w:rPr>
                      <w:rFonts w:ascii="Verdana" w:hAnsi="Verdana" w:cs="Calibri"/>
                      <w:i/>
                      <w:color w:val="000000"/>
                      <w:sz w:val="16"/>
                      <w:szCs w:val="16"/>
                      <w:lang w:val="lt-LT" w:eastAsia="et-EE"/>
                    </w:rPr>
                    <w:t xml:space="preserve">neaudituota </w:t>
                  </w:r>
                </w:p>
              </w:tc>
              <w:tc>
                <w:tcPr>
                  <w:tcW w:w="3209" w:type="dxa"/>
                  <w:gridSpan w:val="3"/>
                  <w:tcBorders>
                    <w:top w:val="double" w:sz="4" w:space="0" w:color="000000"/>
                  </w:tcBorders>
                </w:tcPr>
                <w:p w14:paraId="4E57E6FE" w14:textId="479765F3" w:rsidR="008D2A19" w:rsidRPr="008048D3" w:rsidRDefault="008D2A19" w:rsidP="008D2A19">
                  <w:pPr>
                    <w:jc w:val="center"/>
                    <w:rPr>
                      <w:rFonts w:ascii="Verdana" w:hAnsi="Verdana" w:cs="Calibri"/>
                      <w:color w:val="000000"/>
                      <w:sz w:val="16"/>
                      <w:szCs w:val="16"/>
                      <w:lang w:val="lt-LT" w:eastAsia="et-EE"/>
                    </w:rPr>
                  </w:pPr>
                  <w:r w:rsidRPr="008048D3">
                    <w:rPr>
                      <w:rFonts w:ascii="Verdana" w:hAnsi="Verdana" w:cs="Calibri"/>
                      <w:i/>
                      <w:color w:val="000000"/>
                      <w:sz w:val="16"/>
                      <w:szCs w:val="16"/>
                      <w:lang w:val="lt-LT" w:eastAsia="et-EE"/>
                    </w:rPr>
                    <w:t>audituota</w:t>
                  </w:r>
                </w:p>
              </w:tc>
            </w:tr>
            <w:tr w:rsidR="000C34A6" w:rsidRPr="008048D3" w14:paraId="15D9D38B" w14:textId="77777777" w:rsidTr="000C34A6">
              <w:trPr>
                <w:trHeight w:val="250"/>
              </w:trPr>
              <w:tc>
                <w:tcPr>
                  <w:tcW w:w="2808" w:type="dxa"/>
                  <w:tcBorders>
                    <w:top w:val="double" w:sz="4" w:space="0" w:color="000000"/>
                  </w:tcBorders>
                  <w:hideMark/>
                </w:tcPr>
                <w:p w14:paraId="2C0D351E" w14:textId="25F19F6A" w:rsidR="000C34A6" w:rsidRPr="008048D3" w:rsidRDefault="008D2A19" w:rsidP="000C34A6">
                  <w:pPr>
                    <w:jc w:val="both"/>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 xml:space="preserve">Nekilnojamasis turtas, įranga ir įrengimai </w:t>
                  </w:r>
                </w:p>
              </w:tc>
              <w:tc>
                <w:tcPr>
                  <w:tcW w:w="1233" w:type="dxa"/>
                  <w:tcBorders>
                    <w:top w:val="double" w:sz="4" w:space="0" w:color="000000"/>
                  </w:tcBorders>
                </w:tcPr>
                <w:p w14:paraId="11BB8044" w14:textId="35AF48CE"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88</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463</w:t>
                  </w:r>
                </w:p>
              </w:tc>
              <w:tc>
                <w:tcPr>
                  <w:tcW w:w="1078" w:type="dxa"/>
                  <w:tcBorders>
                    <w:top w:val="double" w:sz="4" w:space="0" w:color="000000"/>
                  </w:tcBorders>
                  <w:hideMark/>
                </w:tcPr>
                <w:p w14:paraId="6134654D" w14:textId="3D2BC983"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85</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235</w:t>
                  </w:r>
                </w:p>
              </w:tc>
              <w:tc>
                <w:tcPr>
                  <w:tcW w:w="1078" w:type="dxa"/>
                  <w:tcBorders>
                    <w:top w:val="double" w:sz="4" w:space="0" w:color="000000"/>
                  </w:tcBorders>
                  <w:hideMark/>
                </w:tcPr>
                <w:p w14:paraId="321F2872" w14:textId="1AA125BF"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76</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262</w:t>
                  </w:r>
                </w:p>
              </w:tc>
              <w:tc>
                <w:tcPr>
                  <w:tcW w:w="1053" w:type="dxa"/>
                  <w:tcBorders>
                    <w:top w:val="double" w:sz="4" w:space="0" w:color="000000"/>
                  </w:tcBorders>
                  <w:hideMark/>
                </w:tcPr>
                <w:p w14:paraId="705F5F59" w14:textId="19B4CA1F"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89</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634</w:t>
                  </w:r>
                </w:p>
              </w:tc>
            </w:tr>
            <w:tr w:rsidR="000C34A6" w:rsidRPr="008048D3" w14:paraId="50EFCD2C" w14:textId="77777777" w:rsidTr="000C34A6">
              <w:trPr>
                <w:trHeight w:val="250"/>
              </w:trPr>
              <w:tc>
                <w:tcPr>
                  <w:tcW w:w="2808" w:type="dxa"/>
                  <w:hideMark/>
                </w:tcPr>
                <w:p w14:paraId="609538DC" w14:textId="12E0EE94" w:rsidR="000C34A6" w:rsidRPr="008048D3" w:rsidRDefault="008D2A19" w:rsidP="000C34A6">
                  <w:pPr>
                    <w:jc w:val="both"/>
                    <w:rPr>
                      <w:rFonts w:ascii="Verdana" w:hAnsi="Verdana"/>
                      <w:color w:val="000000"/>
                      <w:sz w:val="16"/>
                      <w:lang w:val="lt-LT"/>
                    </w:rPr>
                  </w:pPr>
                  <w:r w:rsidRPr="008048D3">
                    <w:rPr>
                      <w:rFonts w:ascii="Verdana" w:hAnsi="Verdana" w:cs="Calibri"/>
                      <w:color w:val="000000"/>
                      <w:sz w:val="16"/>
                      <w:szCs w:val="16"/>
                      <w:lang w:val="lt-LT" w:eastAsia="et-EE"/>
                    </w:rPr>
                    <w:t>Biologinis turtas (galvijai ir kt.)</w:t>
                  </w:r>
                </w:p>
              </w:tc>
              <w:tc>
                <w:tcPr>
                  <w:tcW w:w="1233" w:type="dxa"/>
                </w:tcPr>
                <w:p w14:paraId="57B3470F" w14:textId="61CB9422" w:rsidR="000C34A6" w:rsidRPr="008048D3" w:rsidRDefault="000C34A6" w:rsidP="000C34A6">
                  <w:pPr>
                    <w:jc w:val="right"/>
                    <w:rPr>
                      <w:rFonts w:ascii="Verdana" w:hAnsi="Verdana"/>
                      <w:color w:val="000000"/>
                      <w:sz w:val="16"/>
                      <w:lang w:val="lt-LT"/>
                    </w:rPr>
                  </w:pPr>
                  <w:r w:rsidRPr="008048D3">
                    <w:rPr>
                      <w:rFonts w:ascii="Verdana" w:hAnsi="Verdana" w:cs="Calibri"/>
                      <w:color w:val="000000"/>
                      <w:sz w:val="16"/>
                      <w:szCs w:val="16"/>
                      <w:lang w:val="lt-LT" w:eastAsia="et-EE"/>
                    </w:rPr>
                    <w:t>7</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949</w:t>
                  </w:r>
                </w:p>
              </w:tc>
              <w:tc>
                <w:tcPr>
                  <w:tcW w:w="1078" w:type="dxa"/>
                  <w:hideMark/>
                </w:tcPr>
                <w:p w14:paraId="13B9DCF3" w14:textId="1C8EDCBE" w:rsidR="000C34A6" w:rsidRPr="008048D3" w:rsidRDefault="000C34A6" w:rsidP="000C34A6">
                  <w:pPr>
                    <w:jc w:val="right"/>
                    <w:rPr>
                      <w:rFonts w:ascii="Verdana" w:hAnsi="Verdana"/>
                      <w:color w:val="000000"/>
                      <w:sz w:val="16"/>
                      <w:lang w:val="lt-LT"/>
                    </w:rPr>
                  </w:pPr>
                  <w:r w:rsidRPr="008048D3">
                    <w:rPr>
                      <w:rFonts w:ascii="Verdana" w:hAnsi="Verdana" w:cs="Calibri"/>
                      <w:color w:val="000000"/>
                      <w:sz w:val="16"/>
                      <w:szCs w:val="16"/>
                      <w:lang w:val="lt-LT" w:eastAsia="et-EE"/>
                    </w:rPr>
                    <w:t>8</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029</w:t>
                  </w:r>
                </w:p>
              </w:tc>
              <w:tc>
                <w:tcPr>
                  <w:tcW w:w="1078" w:type="dxa"/>
                  <w:hideMark/>
                </w:tcPr>
                <w:p w14:paraId="5C5E093A" w14:textId="1E9E1364" w:rsidR="000C34A6" w:rsidRPr="008048D3" w:rsidRDefault="000C34A6" w:rsidP="000C34A6">
                  <w:pPr>
                    <w:jc w:val="right"/>
                    <w:rPr>
                      <w:rFonts w:ascii="Verdana" w:hAnsi="Verdana"/>
                      <w:color w:val="000000"/>
                      <w:sz w:val="16"/>
                      <w:lang w:val="lt-LT"/>
                    </w:rPr>
                  </w:pPr>
                  <w:r w:rsidRPr="008048D3">
                    <w:rPr>
                      <w:rFonts w:ascii="Verdana" w:hAnsi="Verdana" w:cs="Calibri"/>
                      <w:color w:val="000000"/>
                      <w:sz w:val="16"/>
                      <w:szCs w:val="16"/>
                      <w:lang w:val="lt-LT" w:eastAsia="et-EE"/>
                    </w:rPr>
                    <w:t>6</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858</w:t>
                  </w:r>
                </w:p>
              </w:tc>
              <w:tc>
                <w:tcPr>
                  <w:tcW w:w="1053" w:type="dxa"/>
                  <w:hideMark/>
                </w:tcPr>
                <w:p w14:paraId="1E94E3B1" w14:textId="7B6C4D99"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6</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637</w:t>
                  </w:r>
                </w:p>
              </w:tc>
            </w:tr>
            <w:tr w:rsidR="000C34A6" w:rsidRPr="008048D3" w14:paraId="75F87637" w14:textId="77777777" w:rsidTr="000C34A6">
              <w:trPr>
                <w:trHeight w:val="250"/>
              </w:trPr>
              <w:tc>
                <w:tcPr>
                  <w:tcW w:w="2808" w:type="dxa"/>
                  <w:vAlign w:val="center"/>
                </w:tcPr>
                <w:p w14:paraId="1A9F02F4" w14:textId="39AF1CD7" w:rsidR="000C34A6" w:rsidRPr="008048D3" w:rsidRDefault="008D2A19" w:rsidP="000C34A6">
                  <w:pPr>
                    <w:jc w:val="both"/>
                    <w:rPr>
                      <w:rFonts w:ascii="Verdana" w:hAnsi="Verdana" w:cs="Calibri"/>
                      <w:b/>
                      <w:bCs/>
                      <w:color w:val="000000"/>
                      <w:sz w:val="16"/>
                      <w:szCs w:val="16"/>
                      <w:lang w:val="lt-LT" w:eastAsia="et-EE"/>
                    </w:rPr>
                  </w:pPr>
                  <w:r w:rsidRPr="008048D3">
                    <w:rPr>
                      <w:rFonts w:ascii="Verdana" w:hAnsi="Verdana" w:cs="Calibri"/>
                      <w:color w:val="000000"/>
                      <w:sz w:val="16"/>
                      <w:szCs w:val="16"/>
                      <w:lang w:val="lt-LT" w:eastAsia="et-EE"/>
                    </w:rPr>
                    <w:t>Kitas ilgalaikis turtas</w:t>
                  </w:r>
                  <w:r w:rsidR="000C34A6" w:rsidRPr="008048D3">
                    <w:rPr>
                      <w:rStyle w:val="FootnoteReference"/>
                      <w:rFonts w:ascii="Verdana" w:hAnsi="Verdana" w:cs="Calibri"/>
                      <w:color w:val="000000"/>
                      <w:sz w:val="16"/>
                      <w:szCs w:val="16"/>
                      <w:lang w:val="lt-LT"/>
                    </w:rPr>
                    <w:footnoteReference w:id="2"/>
                  </w:r>
                </w:p>
              </w:tc>
              <w:tc>
                <w:tcPr>
                  <w:tcW w:w="1233" w:type="dxa"/>
                </w:tcPr>
                <w:p w14:paraId="614108AE" w14:textId="1DA34F0C" w:rsidR="000C34A6" w:rsidRPr="008048D3" w:rsidRDefault="000C34A6" w:rsidP="000C34A6">
                  <w:pPr>
                    <w:jc w:val="right"/>
                    <w:rPr>
                      <w:rFonts w:ascii="Verdana" w:hAnsi="Verdana"/>
                      <w:color w:val="000000"/>
                      <w:sz w:val="16"/>
                      <w:lang w:val="lt-LT"/>
                    </w:rPr>
                  </w:pPr>
                  <w:r w:rsidRPr="008048D3">
                    <w:rPr>
                      <w:rFonts w:ascii="Verdana" w:hAnsi="Verdana" w:cs="Calibri"/>
                      <w:color w:val="000000"/>
                      <w:sz w:val="16"/>
                      <w:szCs w:val="16"/>
                      <w:lang w:val="lt-LT"/>
                    </w:rPr>
                    <w:t>8</w:t>
                  </w:r>
                  <w:r w:rsidR="008D2A19" w:rsidRPr="008048D3">
                    <w:rPr>
                      <w:rFonts w:ascii="Verdana" w:hAnsi="Verdana" w:cs="Calibri"/>
                      <w:color w:val="000000"/>
                      <w:sz w:val="16"/>
                      <w:szCs w:val="16"/>
                      <w:lang w:val="lt-LT"/>
                    </w:rPr>
                    <w:t xml:space="preserve"> </w:t>
                  </w:r>
                  <w:r w:rsidRPr="008048D3">
                    <w:rPr>
                      <w:rFonts w:ascii="Verdana" w:hAnsi="Verdana" w:cs="Calibri"/>
                      <w:color w:val="000000"/>
                      <w:sz w:val="16"/>
                      <w:szCs w:val="16"/>
                      <w:lang w:val="lt-LT"/>
                    </w:rPr>
                    <w:t>408</w:t>
                  </w:r>
                </w:p>
              </w:tc>
              <w:tc>
                <w:tcPr>
                  <w:tcW w:w="1078" w:type="dxa"/>
                  <w:vAlign w:val="center"/>
                </w:tcPr>
                <w:p w14:paraId="16F6E457" w14:textId="5DC8AE0F"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color w:val="000000"/>
                      <w:sz w:val="16"/>
                      <w:szCs w:val="16"/>
                      <w:lang w:val="lt-LT"/>
                    </w:rPr>
                    <w:t>5</w:t>
                  </w:r>
                  <w:r w:rsidR="008D2A19" w:rsidRPr="008048D3">
                    <w:rPr>
                      <w:rFonts w:ascii="Verdana" w:hAnsi="Verdana" w:cs="Calibri"/>
                      <w:color w:val="000000"/>
                      <w:sz w:val="16"/>
                      <w:szCs w:val="16"/>
                      <w:lang w:val="lt-LT"/>
                    </w:rPr>
                    <w:t xml:space="preserve"> </w:t>
                  </w:r>
                  <w:r w:rsidRPr="008048D3">
                    <w:rPr>
                      <w:rFonts w:ascii="Verdana" w:hAnsi="Verdana" w:cs="Calibri"/>
                      <w:color w:val="000000"/>
                      <w:sz w:val="16"/>
                      <w:szCs w:val="16"/>
                      <w:lang w:val="lt-LT"/>
                    </w:rPr>
                    <w:t>867</w:t>
                  </w:r>
                </w:p>
              </w:tc>
              <w:tc>
                <w:tcPr>
                  <w:tcW w:w="1078" w:type="dxa"/>
                  <w:vAlign w:val="center"/>
                </w:tcPr>
                <w:p w14:paraId="18A28B04" w14:textId="4D55D8C4"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color w:val="000000"/>
                      <w:sz w:val="16"/>
                      <w:szCs w:val="16"/>
                      <w:lang w:val="lt-LT"/>
                    </w:rPr>
                    <w:t>3</w:t>
                  </w:r>
                  <w:r w:rsidR="008D2A19" w:rsidRPr="008048D3">
                    <w:rPr>
                      <w:rFonts w:ascii="Verdana" w:hAnsi="Verdana" w:cs="Calibri"/>
                      <w:color w:val="000000"/>
                      <w:sz w:val="16"/>
                      <w:szCs w:val="16"/>
                      <w:lang w:val="lt-LT"/>
                    </w:rPr>
                    <w:t xml:space="preserve"> </w:t>
                  </w:r>
                  <w:r w:rsidRPr="008048D3">
                    <w:rPr>
                      <w:rFonts w:ascii="Verdana" w:hAnsi="Verdana" w:cs="Calibri"/>
                      <w:color w:val="000000"/>
                      <w:sz w:val="16"/>
                      <w:szCs w:val="16"/>
                      <w:lang w:val="lt-LT"/>
                    </w:rPr>
                    <w:t>573</w:t>
                  </w:r>
                </w:p>
              </w:tc>
              <w:tc>
                <w:tcPr>
                  <w:tcW w:w="1053" w:type="dxa"/>
                  <w:vAlign w:val="center"/>
                </w:tcPr>
                <w:p w14:paraId="2EBBCEC7" w14:textId="7F43BE75"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color w:val="000000"/>
                      <w:sz w:val="16"/>
                      <w:szCs w:val="16"/>
                      <w:lang w:val="lt-LT"/>
                    </w:rPr>
                    <w:t>10</w:t>
                  </w:r>
                  <w:r w:rsidR="008D2A19" w:rsidRPr="008048D3">
                    <w:rPr>
                      <w:rFonts w:ascii="Verdana" w:hAnsi="Verdana" w:cs="Calibri"/>
                      <w:color w:val="000000"/>
                      <w:sz w:val="16"/>
                      <w:szCs w:val="16"/>
                      <w:lang w:val="lt-LT"/>
                    </w:rPr>
                    <w:t xml:space="preserve"> </w:t>
                  </w:r>
                  <w:r w:rsidRPr="008048D3">
                    <w:rPr>
                      <w:rFonts w:ascii="Verdana" w:hAnsi="Verdana" w:cs="Calibri"/>
                      <w:color w:val="000000"/>
                      <w:sz w:val="16"/>
                      <w:szCs w:val="16"/>
                      <w:lang w:val="lt-LT"/>
                    </w:rPr>
                    <w:t>590</w:t>
                  </w:r>
                </w:p>
              </w:tc>
            </w:tr>
            <w:tr w:rsidR="000C34A6" w:rsidRPr="008048D3" w14:paraId="633ADC60" w14:textId="77777777" w:rsidTr="000C34A6">
              <w:trPr>
                <w:trHeight w:val="250"/>
              </w:trPr>
              <w:tc>
                <w:tcPr>
                  <w:tcW w:w="2808" w:type="dxa"/>
                  <w:hideMark/>
                </w:tcPr>
                <w:p w14:paraId="57DC1896" w14:textId="1392FE8D" w:rsidR="000C34A6" w:rsidRPr="008048D3" w:rsidRDefault="008D2A19" w:rsidP="000C34A6">
                  <w:pPr>
                    <w:jc w:val="both"/>
                    <w:rPr>
                      <w:rFonts w:ascii="Verdana" w:hAnsi="Verdana"/>
                      <w:b/>
                      <w:color w:val="000000"/>
                      <w:sz w:val="16"/>
                      <w:lang w:val="lt-LT"/>
                    </w:rPr>
                  </w:pPr>
                  <w:r w:rsidRPr="008048D3">
                    <w:rPr>
                      <w:rFonts w:ascii="Verdana" w:hAnsi="Verdana" w:cs="Calibri"/>
                      <w:b/>
                      <w:bCs/>
                      <w:color w:val="000000"/>
                      <w:sz w:val="16"/>
                      <w:szCs w:val="16"/>
                      <w:lang w:val="lt-LT" w:eastAsia="et-EE"/>
                    </w:rPr>
                    <w:t xml:space="preserve">Ilgalaikis turtas, iš viso </w:t>
                  </w:r>
                </w:p>
              </w:tc>
              <w:tc>
                <w:tcPr>
                  <w:tcW w:w="1233" w:type="dxa"/>
                </w:tcPr>
                <w:p w14:paraId="31A80F08" w14:textId="2DF4125E" w:rsidR="000C34A6" w:rsidRPr="008048D3" w:rsidRDefault="000C34A6" w:rsidP="000C34A6">
                  <w:pPr>
                    <w:jc w:val="right"/>
                    <w:rPr>
                      <w:rFonts w:ascii="Verdana" w:hAnsi="Verdana"/>
                      <w:b/>
                      <w:color w:val="000000"/>
                      <w:sz w:val="16"/>
                      <w:lang w:val="lt-LT"/>
                    </w:rPr>
                  </w:pPr>
                  <w:r w:rsidRPr="008048D3">
                    <w:rPr>
                      <w:rFonts w:ascii="Verdana" w:hAnsi="Verdana" w:cs="Calibri"/>
                      <w:b/>
                      <w:bCs/>
                      <w:color w:val="000000"/>
                      <w:sz w:val="16"/>
                      <w:szCs w:val="16"/>
                      <w:lang w:val="lt-LT" w:eastAsia="et-EE"/>
                    </w:rPr>
                    <w:t>104</w:t>
                  </w:r>
                  <w:r w:rsidR="008D2A1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820</w:t>
                  </w:r>
                </w:p>
              </w:tc>
              <w:tc>
                <w:tcPr>
                  <w:tcW w:w="1078" w:type="dxa"/>
                  <w:hideMark/>
                </w:tcPr>
                <w:p w14:paraId="175565E6" w14:textId="22BE85FF" w:rsidR="000C34A6" w:rsidRPr="008048D3" w:rsidRDefault="000C34A6" w:rsidP="000C34A6">
                  <w:pPr>
                    <w:jc w:val="right"/>
                    <w:rPr>
                      <w:rFonts w:ascii="Verdana" w:hAnsi="Verdana"/>
                      <w:b/>
                      <w:color w:val="000000"/>
                      <w:sz w:val="16"/>
                      <w:lang w:val="lt-LT"/>
                    </w:rPr>
                  </w:pPr>
                  <w:r w:rsidRPr="008048D3">
                    <w:rPr>
                      <w:rFonts w:ascii="Verdana" w:hAnsi="Verdana" w:cs="Calibri"/>
                      <w:b/>
                      <w:bCs/>
                      <w:color w:val="000000"/>
                      <w:sz w:val="16"/>
                      <w:szCs w:val="16"/>
                      <w:lang w:val="lt-LT" w:eastAsia="et-EE"/>
                    </w:rPr>
                    <w:t>99</w:t>
                  </w:r>
                  <w:r w:rsidR="008D2A1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131</w:t>
                  </w:r>
                </w:p>
              </w:tc>
              <w:tc>
                <w:tcPr>
                  <w:tcW w:w="1078" w:type="dxa"/>
                  <w:hideMark/>
                </w:tcPr>
                <w:p w14:paraId="4232E0AD" w14:textId="381BE1CD" w:rsidR="000C34A6" w:rsidRPr="008048D3" w:rsidRDefault="000C34A6" w:rsidP="000C34A6">
                  <w:pPr>
                    <w:jc w:val="right"/>
                    <w:rPr>
                      <w:rFonts w:ascii="Verdana" w:hAnsi="Verdana"/>
                      <w:b/>
                      <w:color w:val="000000"/>
                      <w:sz w:val="16"/>
                      <w:lang w:val="lt-LT"/>
                    </w:rPr>
                  </w:pPr>
                  <w:r w:rsidRPr="008048D3">
                    <w:rPr>
                      <w:rFonts w:ascii="Verdana" w:hAnsi="Verdana" w:cs="Calibri"/>
                      <w:b/>
                      <w:bCs/>
                      <w:color w:val="000000"/>
                      <w:sz w:val="16"/>
                      <w:szCs w:val="16"/>
                      <w:lang w:val="lt-LT" w:eastAsia="et-EE"/>
                    </w:rPr>
                    <w:t>86</w:t>
                  </w:r>
                  <w:r w:rsidR="008D2A1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693</w:t>
                  </w:r>
                </w:p>
              </w:tc>
              <w:tc>
                <w:tcPr>
                  <w:tcW w:w="1053" w:type="dxa"/>
                  <w:hideMark/>
                </w:tcPr>
                <w:p w14:paraId="34E22890" w14:textId="70FBD6DE"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106</w:t>
                  </w:r>
                  <w:r w:rsidR="008D2A1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861</w:t>
                  </w:r>
                </w:p>
              </w:tc>
            </w:tr>
            <w:tr w:rsidR="000C34A6" w:rsidRPr="008048D3" w14:paraId="5A68054B" w14:textId="77777777" w:rsidTr="000C34A6">
              <w:trPr>
                <w:trHeight w:val="343"/>
              </w:trPr>
              <w:tc>
                <w:tcPr>
                  <w:tcW w:w="2808" w:type="dxa"/>
                  <w:hideMark/>
                </w:tcPr>
                <w:p w14:paraId="64253453" w14:textId="70BB63B5" w:rsidR="000C34A6" w:rsidRPr="008048D3" w:rsidRDefault="008D2A19" w:rsidP="000C34A6">
                  <w:pPr>
                    <w:jc w:val="both"/>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 xml:space="preserve">Biologinis turtas (pasėliai, grybienos auginimo terpė ir kt.) </w:t>
                  </w:r>
                </w:p>
              </w:tc>
              <w:tc>
                <w:tcPr>
                  <w:tcW w:w="1233" w:type="dxa"/>
                </w:tcPr>
                <w:p w14:paraId="0255521C" w14:textId="248B456E"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12</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861</w:t>
                  </w:r>
                </w:p>
              </w:tc>
              <w:tc>
                <w:tcPr>
                  <w:tcW w:w="1078" w:type="dxa"/>
                  <w:hideMark/>
                </w:tcPr>
                <w:p w14:paraId="1E3BBC9D" w14:textId="4923ED0A"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10</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111</w:t>
                  </w:r>
                </w:p>
              </w:tc>
              <w:tc>
                <w:tcPr>
                  <w:tcW w:w="1078" w:type="dxa"/>
                  <w:hideMark/>
                </w:tcPr>
                <w:p w14:paraId="74BF8E9A" w14:textId="564942AC"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5</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223</w:t>
                  </w:r>
                </w:p>
              </w:tc>
              <w:tc>
                <w:tcPr>
                  <w:tcW w:w="1053" w:type="dxa"/>
                  <w:hideMark/>
                </w:tcPr>
                <w:p w14:paraId="73CEAA4B" w14:textId="4825DF0F"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4</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067</w:t>
                  </w:r>
                </w:p>
              </w:tc>
            </w:tr>
            <w:tr w:rsidR="000C34A6" w:rsidRPr="008048D3" w14:paraId="2300396F" w14:textId="77777777" w:rsidTr="000C34A6">
              <w:trPr>
                <w:trHeight w:val="250"/>
              </w:trPr>
              <w:tc>
                <w:tcPr>
                  <w:tcW w:w="2808" w:type="dxa"/>
                  <w:hideMark/>
                </w:tcPr>
                <w:p w14:paraId="639FE66F" w14:textId="70B307F4" w:rsidR="000C34A6" w:rsidRPr="008048D3" w:rsidRDefault="008D2A19" w:rsidP="000C34A6">
                  <w:pPr>
                    <w:jc w:val="both"/>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 xml:space="preserve">Atsargos </w:t>
                  </w:r>
                </w:p>
              </w:tc>
              <w:tc>
                <w:tcPr>
                  <w:tcW w:w="1233" w:type="dxa"/>
                </w:tcPr>
                <w:p w14:paraId="08582883" w14:textId="2986961C"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23</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770</w:t>
                  </w:r>
                </w:p>
              </w:tc>
              <w:tc>
                <w:tcPr>
                  <w:tcW w:w="1078" w:type="dxa"/>
                  <w:hideMark/>
                </w:tcPr>
                <w:p w14:paraId="3916EA8E" w14:textId="554E965A"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25</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547</w:t>
                  </w:r>
                </w:p>
              </w:tc>
              <w:tc>
                <w:tcPr>
                  <w:tcW w:w="1078" w:type="dxa"/>
                  <w:hideMark/>
                </w:tcPr>
                <w:p w14:paraId="3F310F92" w14:textId="48E4FB0A"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15</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157</w:t>
                  </w:r>
                </w:p>
              </w:tc>
              <w:tc>
                <w:tcPr>
                  <w:tcW w:w="1053" w:type="dxa"/>
                  <w:hideMark/>
                </w:tcPr>
                <w:p w14:paraId="582F208A" w14:textId="2104C037"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8</w:t>
                  </w:r>
                  <w:r w:rsidR="008D2A1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856</w:t>
                  </w:r>
                </w:p>
              </w:tc>
            </w:tr>
            <w:tr w:rsidR="000C34A6" w:rsidRPr="008048D3" w14:paraId="5BD78D71" w14:textId="77777777" w:rsidTr="000C34A6">
              <w:trPr>
                <w:trHeight w:val="343"/>
              </w:trPr>
              <w:tc>
                <w:tcPr>
                  <w:tcW w:w="2808" w:type="dxa"/>
                  <w:hideMark/>
                </w:tcPr>
                <w:p w14:paraId="5AA80EFF" w14:textId="0C5CB29F" w:rsidR="000C34A6" w:rsidRPr="008048D3" w:rsidRDefault="00CB07C9" w:rsidP="000C34A6">
                  <w:pPr>
                    <w:jc w:val="both"/>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 xml:space="preserve">Prekybos gautinos sumos, išankstiniai apmokėjimai ir kitos gautinos sumos </w:t>
                  </w:r>
                </w:p>
              </w:tc>
              <w:tc>
                <w:tcPr>
                  <w:tcW w:w="1233" w:type="dxa"/>
                </w:tcPr>
                <w:p w14:paraId="7C5424E6" w14:textId="68D0BF19"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11</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937</w:t>
                  </w:r>
                </w:p>
              </w:tc>
              <w:tc>
                <w:tcPr>
                  <w:tcW w:w="1078" w:type="dxa"/>
                  <w:hideMark/>
                </w:tcPr>
                <w:p w14:paraId="43188AB5" w14:textId="531782BB"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10</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765</w:t>
                  </w:r>
                </w:p>
              </w:tc>
              <w:tc>
                <w:tcPr>
                  <w:tcW w:w="1078" w:type="dxa"/>
                  <w:hideMark/>
                </w:tcPr>
                <w:p w14:paraId="1F8E2509" w14:textId="208C929B"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13</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367</w:t>
                  </w:r>
                </w:p>
              </w:tc>
              <w:tc>
                <w:tcPr>
                  <w:tcW w:w="1053" w:type="dxa"/>
                  <w:hideMark/>
                </w:tcPr>
                <w:p w14:paraId="2B2F9799" w14:textId="107D6C78"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11</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414</w:t>
                  </w:r>
                </w:p>
              </w:tc>
            </w:tr>
            <w:tr w:rsidR="000C34A6" w:rsidRPr="008048D3" w14:paraId="2E8FC9C0" w14:textId="77777777" w:rsidTr="000C34A6">
              <w:trPr>
                <w:trHeight w:val="250"/>
              </w:trPr>
              <w:tc>
                <w:tcPr>
                  <w:tcW w:w="2808" w:type="dxa"/>
                  <w:hideMark/>
                </w:tcPr>
                <w:p w14:paraId="7759FF1D" w14:textId="29482130" w:rsidR="000C34A6" w:rsidRPr="008048D3" w:rsidRDefault="00CB07C9" w:rsidP="000C34A6">
                  <w:pPr>
                    <w:jc w:val="both"/>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 xml:space="preserve">Pinigai ir pinigų ekvivalentai </w:t>
                  </w:r>
                </w:p>
              </w:tc>
              <w:tc>
                <w:tcPr>
                  <w:tcW w:w="1233" w:type="dxa"/>
                </w:tcPr>
                <w:p w14:paraId="529CFE49" w14:textId="26083950"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040</w:t>
                  </w:r>
                </w:p>
              </w:tc>
              <w:tc>
                <w:tcPr>
                  <w:tcW w:w="1078" w:type="dxa"/>
                  <w:hideMark/>
                </w:tcPr>
                <w:p w14:paraId="6BD40F02" w14:textId="04C0F885"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620</w:t>
                  </w:r>
                </w:p>
              </w:tc>
              <w:tc>
                <w:tcPr>
                  <w:tcW w:w="1078" w:type="dxa"/>
                  <w:hideMark/>
                </w:tcPr>
                <w:p w14:paraId="4150AD6C" w14:textId="13D164A7"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650</w:t>
                  </w:r>
                </w:p>
              </w:tc>
              <w:tc>
                <w:tcPr>
                  <w:tcW w:w="1053" w:type="dxa"/>
                  <w:hideMark/>
                </w:tcPr>
                <w:p w14:paraId="4F19DF13" w14:textId="52FD7A5B"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4</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068</w:t>
                  </w:r>
                </w:p>
              </w:tc>
            </w:tr>
            <w:tr w:rsidR="000C34A6" w:rsidRPr="008048D3" w14:paraId="2DE0910B" w14:textId="77777777" w:rsidTr="000C34A6">
              <w:trPr>
                <w:trHeight w:val="250"/>
              </w:trPr>
              <w:tc>
                <w:tcPr>
                  <w:tcW w:w="2808" w:type="dxa"/>
                  <w:hideMark/>
                </w:tcPr>
                <w:p w14:paraId="5D3B892A" w14:textId="6FAC023E" w:rsidR="000C34A6" w:rsidRPr="008048D3" w:rsidRDefault="00CB07C9" w:rsidP="000C34A6">
                  <w:pPr>
                    <w:jc w:val="both"/>
                    <w:rPr>
                      <w:rFonts w:ascii="Verdana" w:hAnsi="Verdana"/>
                      <w:color w:val="000000"/>
                      <w:sz w:val="16"/>
                      <w:lang w:val="lt-LT"/>
                    </w:rPr>
                  </w:pPr>
                  <w:r w:rsidRPr="008048D3">
                    <w:rPr>
                      <w:rFonts w:ascii="Verdana" w:hAnsi="Verdana" w:cs="Calibri"/>
                      <w:color w:val="000000"/>
                      <w:sz w:val="16"/>
                      <w:szCs w:val="16"/>
                      <w:lang w:val="lt-LT" w:eastAsia="et-EE"/>
                    </w:rPr>
                    <w:t xml:space="preserve">Turtas, skirtas parduoti </w:t>
                  </w:r>
                </w:p>
              </w:tc>
              <w:tc>
                <w:tcPr>
                  <w:tcW w:w="1233" w:type="dxa"/>
                </w:tcPr>
                <w:p w14:paraId="5009F5DC" w14:textId="3452DEF8" w:rsidR="000C34A6" w:rsidRPr="008048D3" w:rsidRDefault="000C34A6" w:rsidP="000C34A6">
                  <w:pPr>
                    <w:jc w:val="right"/>
                    <w:rPr>
                      <w:rFonts w:ascii="Verdana" w:hAnsi="Verdana"/>
                      <w:color w:val="000000"/>
                      <w:sz w:val="16"/>
                      <w:lang w:val="lt-LT"/>
                    </w:rPr>
                  </w:pPr>
                  <w:r w:rsidRPr="008048D3">
                    <w:rPr>
                      <w:rFonts w:ascii="Verdana" w:hAnsi="Verdana" w:cs="Calibri"/>
                      <w:color w:val="000000"/>
                      <w:sz w:val="16"/>
                      <w:szCs w:val="16"/>
                      <w:lang w:val="lt-LT" w:eastAsia="et-EE"/>
                    </w:rPr>
                    <w:t>4</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247</w:t>
                  </w:r>
                </w:p>
              </w:tc>
              <w:tc>
                <w:tcPr>
                  <w:tcW w:w="1078" w:type="dxa"/>
                  <w:hideMark/>
                </w:tcPr>
                <w:p w14:paraId="2929DE74" w14:textId="4C76967F" w:rsidR="000C34A6" w:rsidRPr="008048D3" w:rsidRDefault="000C34A6" w:rsidP="000C34A6">
                  <w:pPr>
                    <w:jc w:val="right"/>
                    <w:rPr>
                      <w:rFonts w:ascii="Verdana" w:hAnsi="Verdana"/>
                      <w:color w:val="000000"/>
                      <w:sz w:val="16"/>
                      <w:lang w:val="lt-LT"/>
                    </w:rPr>
                  </w:pPr>
                  <w:r w:rsidRPr="008048D3">
                    <w:rPr>
                      <w:rFonts w:ascii="Verdana" w:hAnsi="Verdana" w:cs="Calibri"/>
                      <w:color w:val="000000"/>
                      <w:sz w:val="16"/>
                      <w:szCs w:val="16"/>
                      <w:lang w:val="lt-LT" w:eastAsia="et-EE"/>
                    </w:rPr>
                    <w:t>2</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374</w:t>
                  </w:r>
                </w:p>
              </w:tc>
              <w:tc>
                <w:tcPr>
                  <w:tcW w:w="1078" w:type="dxa"/>
                  <w:hideMark/>
                </w:tcPr>
                <w:p w14:paraId="4647C056" w14:textId="0A128BDE" w:rsidR="000C34A6" w:rsidRPr="008048D3" w:rsidRDefault="000C34A6" w:rsidP="000C34A6">
                  <w:pPr>
                    <w:jc w:val="right"/>
                    <w:rPr>
                      <w:rFonts w:ascii="Verdana" w:hAnsi="Verdana"/>
                      <w:color w:val="000000"/>
                      <w:sz w:val="16"/>
                      <w:lang w:val="lt-LT"/>
                    </w:rPr>
                  </w:pPr>
                  <w:r w:rsidRPr="008048D3">
                    <w:rPr>
                      <w:rFonts w:ascii="Verdana" w:hAnsi="Verdana" w:cs="Calibri"/>
                      <w:color w:val="000000"/>
                      <w:sz w:val="16"/>
                      <w:szCs w:val="16"/>
                      <w:lang w:val="lt-LT" w:eastAsia="et-EE"/>
                    </w:rPr>
                    <w:t>-</w:t>
                  </w:r>
                </w:p>
              </w:tc>
              <w:tc>
                <w:tcPr>
                  <w:tcW w:w="1053" w:type="dxa"/>
                  <w:hideMark/>
                </w:tcPr>
                <w:p w14:paraId="49AA85EC" w14:textId="77777777"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w:t>
                  </w:r>
                </w:p>
              </w:tc>
            </w:tr>
            <w:tr w:rsidR="000C34A6" w:rsidRPr="008048D3" w14:paraId="023FA022" w14:textId="77777777" w:rsidTr="000C34A6">
              <w:trPr>
                <w:trHeight w:val="250"/>
              </w:trPr>
              <w:tc>
                <w:tcPr>
                  <w:tcW w:w="2808" w:type="dxa"/>
                  <w:hideMark/>
                </w:tcPr>
                <w:p w14:paraId="1B291277" w14:textId="07C6CCEF" w:rsidR="000C34A6" w:rsidRPr="008048D3" w:rsidRDefault="00CB07C9" w:rsidP="000C34A6">
                  <w:pPr>
                    <w:jc w:val="both"/>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 xml:space="preserve">Trumpalaikis turtas, iš viso </w:t>
                  </w:r>
                </w:p>
              </w:tc>
              <w:tc>
                <w:tcPr>
                  <w:tcW w:w="1233" w:type="dxa"/>
                </w:tcPr>
                <w:p w14:paraId="11B60CF1" w14:textId="339BEDC0"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53</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855</w:t>
                  </w:r>
                </w:p>
              </w:tc>
              <w:tc>
                <w:tcPr>
                  <w:tcW w:w="1078" w:type="dxa"/>
                  <w:hideMark/>
                </w:tcPr>
                <w:p w14:paraId="101B2563" w14:textId="19207A1F"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49</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417</w:t>
                  </w:r>
                </w:p>
              </w:tc>
              <w:tc>
                <w:tcPr>
                  <w:tcW w:w="1078" w:type="dxa"/>
                  <w:hideMark/>
                </w:tcPr>
                <w:p w14:paraId="7C760467" w14:textId="411A43AC"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35</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397</w:t>
                  </w:r>
                </w:p>
              </w:tc>
              <w:tc>
                <w:tcPr>
                  <w:tcW w:w="1053" w:type="dxa"/>
                  <w:hideMark/>
                </w:tcPr>
                <w:p w14:paraId="5693E185" w14:textId="331C2FA2"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28</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405</w:t>
                  </w:r>
                </w:p>
              </w:tc>
            </w:tr>
            <w:tr w:rsidR="000C34A6" w:rsidRPr="008048D3" w14:paraId="17B1EF02" w14:textId="77777777" w:rsidTr="000C34A6">
              <w:trPr>
                <w:trHeight w:val="250"/>
              </w:trPr>
              <w:tc>
                <w:tcPr>
                  <w:tcW w:w="2808" w:type="dxa"/>
                  <w:hideMark/>
                </w:tcPr>
                <w:p w14:paraId="5DEEF2A5" w14:textId="46D3C6A6" w:rsidR="000C34A6" w:rsidRPr="008048D3" w:rsidRDefault="00CB07C9" w:rsidP="000C34A6">
                  <w:pPr>
                    <w:jc w:val="both"/>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 xml:space="preserve">Turtas, iš viso </w:t>
                  </w:r>
                </w:p>
              </w:tc>
              <w:tc>
                <w:tcPr>
                  <w:tcW w:w="1233" w:type="dxa"/>
                </w:tcPr>
                <w:p w14:paraId="32DF89EC" w14:textId="7B65DCE6"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158</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675</w:t>
                  </w:r>
                </w:p>
              </w:tc>
              <w:tc>
                <w:tcPr>
                  <w:tcW w:w="1078" w:type="dxa"/>
                  <w:hideMark/>
                </w:tcPr>
                <w:p w14:paraId="44BAF561" w14:textId="43048960"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148</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548</w:t>
                  </w:r>
                </w:p>
              </w:tc>
              <w:tc>
                <w:tcPr>
                  <w:tcW w:w="1078" w:type="dxa"/>
                  <w:hideMark/>
                </w:tcPr>
                <w:p w14:paraId="5364717D" w14:textId="2FA66443"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122</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090</w:t>
                  </w:r>
                </w:p>
              </w:tc>
              <w:tc>
                <w:tcPr>
                  <w:tcW w:w="1053" w:type="dxa"/>
                  <w:hideMark/>
                </w:tcPr>
                <w:p w14:paraId="4F62ADCA" w14:textId="358FB011"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135</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266</w:t>
                  </w:r>
                </w:p>
              </w:tc>
            </w:tr>
            <w:tr w:rsidR="000C34A6" w:rsidRPr="008048D3" w14:paraId="548742D0" w14:textId="77777777" w:rsidTr="000C34A6">
              <w:trPr>
                <w:trHeight w:val="250"/>
              </w:trPr>
              <w:tc>
                <w:tcPr>
                  <w:tcW w:w="2808" w:type="dxa"/>
                  <w:hideMark/>
                </w:tcPr>
                <w:p w14:paraId="202AE44A" w14:textId="055090D5" w:rsidR="000C34A6" w:rsidRPr="008048D3" w:rsidRDefault="00CB07C9" w:rsidP="000C34A6">
                  <w:pPr>
                    <w:jc w:val="both"/>
                    <w:rPr>
                      <w:rFonts w:ascii="Verdana" w:hAnsi="Verdana"/>
                      <w:b/>
                      <w:color w:val="000000"/>
                      <w:sz w:val="16"/>
                      <w:lang w:val="lt-LT"/>
                    </w:rPr>
                  </w:pPr>
                  <w:r w:rsidRPr="008048D3">
                    <w:rPr>
                      <w:rFonts w:ascii="Verdana" w:hAnsi="Verdana" w:cs="Calibri"/>
                      <w:b/>
                      <w:bCs/>
                      <w:color w:val="000000"/>
                      <w:sz w:val="16"/>
                      <w:szCs w:val="16"/>
                      <w:lang w:val="lt-LT" w:eastAsia="et-EE"/>
                    </w:rPr>
                    <w:t xml:space="preserve">Nuosavas kapitalas, iš viso </w:t>
                  </w:r>
                </w:p>
              </w:tc>
              <w:tc>
                <w:tcPr>
                  <w:tcW w:w="1233" w:type="dxa"/>
                </w:tcPr>
                <w:p w14:paraId="2884A614" w14:textId="280131DD" w:rsidR="000C34A6" w:rsidRPr="008048D3" w:rsidRDefault="000C34A6" w:rsidP="000C34A6">
                  <w:pPr>
                    <w:jc w:val="right"/>
                    <w:rPr>
                      <w:rFonts w:ascii="Verdana" w:hAnsi="Verdana"/>
                      <w:b/>
                      <w:color w:val="000000"/>
                      <w:sz w:val="16"/>
                      <w:lang w:val="lt-LT"/>
                    </w:rPr>
                  </w:pPr>
                  <w:r w:rsidRPr="008048D3">
                    <w:rPr>
                      <w:rFonts w:ascii="Verdana" w:hAnsi="Verdana" w:cs="Calibri"/>
                      <w:b/>
                      <w:bCs/>
                      <w:color w:val="000000"/>
                      <w:sz w:val="16"/>
                      <w:szCs w:val="16"/>
                      <w:lang w:val="lt-LT" w:eastAsia="et-EE"/>
                    </w:rPr>
                    <w:t>79</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640</w:t>
                  </w:r>
                </w:p>
              </w:tc>
              <w:tc>
                <w:tcPr>
                  <w:tcW w:w="1078" w:type="dxa"/>
                  <w:hideMark/>
                </w:tcPr>
                <w:p w14:paraId="03E413C7" w14:textId="25B159CF" w:rsidR="000C34A6" w:rsidRPr="008048D3" w:rsidRDefault="000C34A6" w:rsidP="000C34A6">
                  <w:pPr>
                    <w:jc w:val="right"/>
                    <w:rPr>
                      <w:rFonts w:ascii="Verdana" w:hAnsi="Verdana"/>
                      <w:b/>
                      <w:color w:val="000000"/>
                      <w:sz w:val="16"/>
                      <w:lang w:val="lt-LT"/>
                    </w:rPr>
                  </w:pPr>
                  <w:r w:rsidRPr="008048D3">
                    <w:rPr>
                      <w:rFonts w:ascii="Verdana" w:hAnsi="Verdana" w:cs="Calibri"/>
                      <w:b/>
                      <w:bCs/>
                      <w:color w:val="000000"/>
                      <w:sz w:val="16"/>
                      <w:szCs w:val="16"/>
                      <w:lang w:val="lt-LT" w:eastAsia="et-EE"/>
                    </w:rPr>
                    <w:t>79</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015</w:t>
                  </w:r>
                </w:p>
              </w:tc>
              <w:tc>
                <w:tcPr>
                  <w:tcW w:w="1078" w:type="dxa"/>
                  <w:hideMark/>
                </w:tcPr>
                <w:p w14:paraId="5FD769D8" w14:textId="6874332D" w:rsidR="000C34A6" w:rsidRPr="008048D3" w:rsidRDefault="000C34A6" w:rsidP="000C34A6">
                  <w:pPr>
                    <w:jc w:val="right"/>
                    <w:rPr>
                      <w:rFonts w:ascii="Verdana" w:hAnsi="Verdana"/>
                      <w:b/>
                      <w:color w:val="000000"/>
                      <w:sz w:val="16"/>
                      <w:lang w:val="lt-LT"/>
                    </w:rPr>
                  </w:pPr>
                  <w:r w:rsidRPr="008048D3">
                    <w:rPr>
                      <w:rFonts w:ascii="Verdana" w:hAnsi="Verdana" w:cs="Calibri"/>
                      <w:b/>
                      <w:bCs/>
                      <w:color w:val="000000"/>
                      <w:sz w:val="16"/>
                      <w:szCs w:val="16"/>
                      <w:lang w:val="lt-LT" w:eastAsia="et-EE"/>
                    </w:rPr>
                    <w:t>72</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238</w:t>
                  </w:r>
                </w:p>
              </w:tc>
              <w:tc>
                <w:tcPr>
                  <w:tcW w:w="1053" w:type="dxa"/>
                  <w:hideMark/>
                </w:tcPr>
                <w:p w14:paraId="66047848" w14:textId="3842B0F5"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69</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130</w:t>
                  </w:r>
                </w:p>
              </w:tc>
            </w:tr>
            <w:tr w:rsidR="000C34A6" w:rsidRPr="008048D3" w14:paraId="5BE8CC18" w14:textId="77777777" w:rsidTr="000C34A6">
              <w:trPr>
                <w:trHeight w:val="250"/>
              </w:trPr>
              <w:tc>
                <w:tcPr>
                  <w:tcW w:w="2808" w:type="dxa"/>
                  <w:hideMark/>
                </w:tcPr>
                <w:p w14:paraId="641B0B8A" w14:textId="31B19CB9" w:rsidR="000C34A6" w:rsidRPr="008048D3" w:rsidRDefault="00CB07C9" w:rsidP="00CB07C9">
                  <w:pPr>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 xml:space="preserve">Paskolos ir lizingo </w:t>
                  </w:r>
                  <w:r w:rsidRPr="008048D3">
                    <w:rPr>
                      <w:rFonts w:ascii="Verdana" w:hAnsi="Verdana" w:cs="Calibri"/>
                      <w:color w:val="000000"/>
                      <w:sz w:val="16"/>
                      <w:szCs w:val="16"/>
                      <w:lang w:val="lt-LT" w:eastAsia="et-EE"/>
                    </w:rPr>
                    <w:lastRenderedPageBreak/>
                    <w:t xml:space="preserve">įsipareigojimai </w:t>
                  </w:r>
                </w:p>
              </w:tc>
              <w:tc>
                <w:tcPr>
                  <w:tcW w:w="1233" w:type="dxa"/>
                </w:tcPr>
                <w:p w14:paraId="7C968F23" w14:textId="0EEC1AE1"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olor w:val="000000"/>
                      <w:sz w:val="16"/>
                      <w:lang w:val="lt-LT"/>
                    </w:rPr>
                    <w:lastRenderedPageBreak/>
                    <w:t>25</w:t>
                  </w:r>
                  <w:r w:rsidR="00CB07C9" w:rsidRPr="008048D3">
                    <w:rPr>
                      <w:rFonts w:ascii="Verdana" w:hAnsi="Verdana"/>
                      <w:color w:val="000000"/>
                      <w:sz w:val="16"/>
                      <w:lang w:val="lt-LT"/>
                    </w:rPr>
                    <w:t xml:space="preserve"> </w:t>
                  </w:r>
                  <w:r w:rsidRPr="008048D3">
                    <w:rPr>
                      <w:rFonts w:ascii="Verdana" w:hAnsi="Verdana"/>
                      <w:color w:val="000000"/>
                      <w:sz w:val="16"/>
                      <w:lang w:val="lt-LT"/>
                    </w:rPr>
                    <w:t>928</w:t>
                  </w:r>
                </w:p>
              </w:tc>
              <w:tc>
                <w:tcPr>
                  <w:tcW w:w="1078" w:type="dxa"/>
                  <w:hideMark/>
                </w:tcPr>
                <w:p w14:paraId="36FE2209" w14:textId="4ADC5EDC"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22</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522</w:t>
                  </w:r>
                </w:p>
              </w:tc>
              <w:tc>
                <w:tcPr>
                  <w:tcW w:w="1078" w:type="dxa"/>
                  <w:hideMark/>
                </w:tcPr>
                <w:p w14:paraId="4E6C7189" w14:textId="63157BF1"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20</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365</w:t>
                  </w:r>
                </w:p>
              </w:tc>
              <w:tc>
                <w:tcPr>
                  <w:tcW w:w="1053" w:type="dxa"/>
                  <w:hideMark/>
                </w:tcPr>
                <w:p w14:paraId="314C6C70" w14:textId="2D75B06B"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21</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319</w:t>
                  </w:r>
                </w:p>
              </w:tc>
            </w:tr>
            <w:tr w:rsidR="000C34A6" w:rsidRPr="008048D3" w14:paraId="4490CD6F" w14:textId="77777777" w:rsidTr="000C34A6">
              <w:trPr>
                <w:trHeight w:val="250"/>
              </w:trPr>
              <w:tc>
                <w:tcPr>
                  <w:tcW w:w="2808" w:type="dxa"/>
                  <w:hideMark/>
                </w:tcPr>
                <w:p w14:paraId="0CEA9288" w14:textId="21E94145" w:rsidR="000C34A6" w:rsidRPr="008048D3" w:rsidRDefault="00CB07C9" w:rsidP="000C34A6">
                  <w:pPr>
                    <w:jc w:val="both"/>
                    <w:rPr>
                      <w:rFonts w:ascii="Verdana" w:hAnsi="Verdana"/>
                      <w:color w:val="000000"/>
                      <w:sz w:val="16"/>
                      <w:lang w:val="lt-LT"/>
                    </w:rPr>
                  </w:pPr>
                  <w:r w:rsidRPr="008048D3">
                    <w:rPr>
                      <w:rFonts w:ascii="Verdana" w:hAnsi="Verdana" w:cs="Calibri"/>
                      <w:color w:val="000000"/>
                      <w:sz w:val="16"/>
                      <w:szCs w:val="16"/>
                      <w:lang w:val="lt-LT" w:eastAsia="et-EE"/>
                    </w:rPr>
                    <w:lastRenderedPageBreak/>
                    <w:t>Kiti ilgalaikiai įsipareigojimai</w:t>
                  </w:r>
                  <w:r w:rsidR="000C34A6" w:rsidRPr="008048D3">
                    <w:rPr>
                      <w:rStyle w:val="FootnoteReference"/>
                      <w:rFonts w:ascii="Verdana" w:hAnsi="Verdana" w:cs="Calibri"/>
                      <w:color w:val="000000"/>
                      <w:sz w:val="16"/>
                      <w:szCs w:val="16"/>
                      <w:lang w:val="lt-LT" w:eastAsia="et-EE"/>
                    </w:rPr>
                    <w:footnoteReference w:id="3"/>
                  </w:r>
                </w:p>
              </w:tc>
              <w:tc>
                <w:tcPr>
                  <w:tcW w:w="1233" w:type="dxa"/>
                </w:tcPr>
                <w:p w14:paraId="1E042EC5" w14:textId="2041DC0B" w:rsidR="000C34A6" w:rsidRPr="008048D3" w:rsidRDefault="000C34A6" w:rsidP="000C34A6">
                  <w:pPr>
                    <w:jc w:val="right"/>
                    <w:rPr>
                      <w:rFonts w:ascii="Verdana" w:hAnsi="Verdana"/>
                      <w:color w:val="000000"/>
                      <w:sz w:val="16"/>
                      <w:lang w:val="lt-LT"/>
                    </w:rPr>
                  </w:pPr>
                  <w:r w:rsidRPr="008048D3">
                    <w:rPr>
                      <w:rFonts w:ascii="Verdana" w:hAnsi="Verdana" w:cs="Calibri"/>
                      <w:color w:val="000000"/>
                      <w:sz w:val="16"/>
                      <w:szCs w:val="16"/>
                      <w:lang w:val="lt-LT"/>
                    </w:rPr>
                    <w:t>4</w:t>
                  </w:r>
                  <w:r w:rsidR="00CB07C9" w:rsidRPr="008048D3">
                    <w:rPr>
                      <w:rFonts w:ascii="Verdana" w:hAnsi="Verdana" w:cs="Calibri"/>
                      <w:color w:val="000000"/>
                      <w:sz w:val="16"/>
                      <w:szCs w:val="16"/>
                      <w:lang w:val="lt-LT"/>
                    </w:rPr>
                    <w:t xml:space="preserve"> </w:t>
                  </w:r>
                  <w:r w:rsidRPr="008048D3">
                    <w:rPr>
                      <w:rFonts w:ascii="Verdana" w:hAnsi="Verdana" w:cs="Calibri"/>
                      <w:color w:val="000000"/>
                      <w:sz w:val="16"/>
                      <w:szCs w:val="16"/>
                      <w:lang w:val="lt-LT"/>
                    </w:rPr>
                    <w:t>343</w:t>
                  </w:r>
                </w:p>
              </w:tc>
              <w:tc>
                <w:tcPr>
                  <w:tcW w:w="1078" w:type="dxa"/>
                  <w:vAlign w:val="center"/>
                  <w:hideMark/>
                </w:tcPr>
                <w:p w14:paraId="2182FA5C" w14:textId="2C3EEFFF" w:rsidR="000C34A6" w:rsidRPr="008048D3" w:rsidRDefault="000C34A6" w:rsidP="000C34A6">
                  <w:pPr>
                    <w:jc w:val="right"/>
                    <w:rPr>
                      <w:rFonts w:ascii="Verdana" w:hAnsi="Verdana"/>
                      <w:color w:val="000000"/>
                      <w:sz w:val="16"/>
                      <w:lang w:val="lt-LT"/>
                    </w:rPr>
                  </w:pPr>
                  <w:r w:rsidRPr="008048D3">
                    <w:rPr>
                      <w:rFonts w:ascii="Verdana" w:hAnsi="Verdana" w:cs="Calibri"/>
                      <w:color w:val="000000"/>
                      <w:sz w:val="16"/>
                      <w:szCs w:val="16"/>
                      <w:lang w:val="lt-LT"/>
                    </w:rPr>
                    <w:t>4</w:t>
                  </w:r>
                  <w:r w:rsidR="00CB07C9" w:rsidRPr="008048D3">
                    <w:rPr>
                      <w:rFonts w:ascii="Verdana" w:hAnsi="Verdana" w:cs="Calibri"/>
                      <w:color w:val="000000"/>
                      <w:sz w:val="16"/>
                      <w:szCs w:val="16"/>
                      <w:lang w:val="lt-LT"/>
                    </w:rPr>
                    <w:t xml:space="preserve"> </w:t>
                  </w:r>
                  <w:r w:rsidRPr="008048D3">
                    <w:rPr>
                      <w:rFonts w:ascii="Verdana" w:hAnsi="Verdana" w:cs="Calibri"/>
                      <w:color w:val="000000"/>
                      <w:sz w:val="16"/>
                      <w:szCs w:val="16"/>
                      <w:lang w:val="lt-LT"/>
                    </w:rPr>
                    <w:t>313</w:t>
                  </w:r>
                </w:p>
              </w:tc>
              <w:tc>
                <w:tcPr>
                  <w:tcW w:w="1078" w:type="dxa"/>
                  <w:vAlign w:val="center"/>
                  <w:hideMark/>
                </w:tcPr>
                <w:p w14:paraId="38CB5724" w14:textId="11B2A17E" w:rsidR="000C34A6" w:rsidRPr="008048D3" w:rsidRDefault="000C34A6" w:rsidP="000C34A6">
                  <w:pPr>
                    <w:jc w:val="right"/>
                    <w:rPr>
                      <w:rFonts w:ascii="Verdana" w:hAnsi="Verdana"/>
                      <w:color w:val="000000"/>
                      <w:sz w:val="16"/>
                      <w:lang w:val="lt-LT"/>
                    </w:rPr>
                  </w:pPr>
                  <w:r w:rsidRPr="008048D3">
                    <w:rPr>
                      <w:rFonts w:ascii="Verdana" w:hAnsi="Verdana" w:cs="Calibri"/>
                      <w:color w:val="000000"/>
                      <w:sz w:val="16"/>
                      <w:szCs w:val="16"/>
                      <w:lang w:val="lt-LT"/>
                    </w:rPr>
                    <w:t>3</w:t>
                  </w:r>
                  <w:r w:rsidR="00CB07C9" w:rsidRPr="008048D3">
                    <w:rPr>
                      <w:rFonts w:ascii="Verdana" w:hAnsi="Verdana" w:cs="Calibri"/>
                      <w:color w:val="000000"/>
                      <w:sz w:val="16"/>
                      <w:szCs w:val="16"/>
                      <w:lang w:val="lt-LT"/>
                    </w:rPr>
                    <w:t xml:space="preserve"> </w:t>
                  </w:r>
                  <w:r w:rsidRPr="008048D3">
                    <w:rPr>
                      <w:rFonts w:ascii="Verdana" w:hAnsi="Verdana" w:cs="Calibri"/>
                      <w:color w:val="000000"/>
                      <w:sz w:val="16"/>
                      <w:szCs w:val="16"/>
                      <w:lang w:val="lt-LT"/>
                    </w:rPr>
                    <w:t>719</w:t>
                  </w:r>
                </w:p>
              </w:tc>
              <w:tc>
                <w:tcPr>
                  <w:tcW w:w="1053" w:type="dxa"/>
                  <w:vAlign w:val="center"/>
                  <w:hideMark/>
                </w:tcPr>
                <w:p w14:paraId="6BDAD100" w14:textId="0C5A80F3"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rPr>
                    <w:t>6</w:t>
                  </w:r>
                  <w:r w:rsidR="00CB07C9" w:rsidRPr="008048D3">
                    <w:rPr>
                      <w:rFonts w:ascii="Verdana" w:hAnsi="Verdana" w:cs="Calibri"/>
                      <w:color w:val="000000"/>
                      <w:sz w:val="16"/>
                      <w:szCs w:val="16"/>
                      <w:lang w:val="lt-LT"/>
                    </w:rPr>
                    <w:t xml:space="preserve"> </w:t>
                  </w:r>
                  <w:r w:rsidRPr="008048D3">
                    <w:rPr>
                      <w:rFonts w:ascii="Verdana" w:hAnsi="Verdana" w:cs="Calibri"/>
                      <w:color w:val="000000"/>
                      <w:sz w:val="16"/>
                      <w:szCs w:val="16"/>
                      <w:lang w:val="lt-LT"/>
                    </w:rPr>
                    <w:t>672</w:t>
                  </w:r>
                </w:p>
              </w:tc>
            </w:tr>
            <w:tr w:rsidR="000C34A6" w:rsidRPr="008048D3" w14:paraId="69678EFC" w14:textId="77777777" w:rsidTr="00CA53A5">
              <w:trPr>
                <w:trHeight w:val="250"/>
              </w:trPr>
              <w:tc>
                <w:tcPr>
                  <w:tcW w:w="2808" w:type="dxa"/>
                  <w:hideMark/>
                </w:tcPr>
                <w:p w14:paraId="0225EC7A" w14:textId="677B3AC3" w:rsidR="000C34A6" w:rsidRPr="008048D3" w:rsidRDefault="00911E8B" w:rsidP="000C34A6">
                  <w:pPr>
                    <w:jc w:val="both"/>
                    <w:rPr>
                      <w:rFonts w:ascii="Verdana" w:hAnsi="Verdana"/>
                      <w:b/>
                      <w:color w:val="000000"/>
                      <w:sz w:val="16"/>
                      <w:lang w:val="lt-LT"/>
                    </w:rPr>
                  </w:pPr>
                  <w:r w:rsidRPr="008048D3">
                    <w:rPr>
                      <w:rFonts w:ascii="Verdana" w:hAnsi="Verdana" w:cs="Calibri"/>
                      <w:b/>
                      <w:bCs/>
                      <w:color w:val="000000"/>
                      <w:sz w:val="16"/>
                      <w:szCs w:val="16"/>
                      <w:lang w:val="lt-LT" w:eastAsia="et-EE"/>
                    </w:rPr>
                    <w:t xml:space="preserve">Ilgalaikiai įsipareigojimai, iš viso </w:t>
                  </w:r>
                </w:p>
              </w:tc>
              <w:tc>
                <w:tcPr>
                  <w:tcW w:w="1233" w:type="dxa"/>
                </w:tcPr>
                <w:p w14:paraId="03EDACEF" w14:textId="4A312309" w:rsidR="000C34A6" w:rsidRPr="008048D3" w:rsidRDefault="000C34A6" w:rsidP="000C34A6">
                  <w:pPr>
                    <w:jc w:val="right"/>
                    <w:rPr>
                      <w:rFonts w:ascii="Verdana" w:hAnsi="Verdana"/>
                      <w:b/>
                      <w:color w:val="000000"/>
                      <w:sz w:val="16"/>
                      <w:lang w:val="lt-LT"/>
                    </w:rPr>
                  </w:pPr>
                  <w:r w:rsidRPr="008048D3">
                    <w:rPr>
                      <w:rFonts w:ascii="Verdana" w:hAnsi="Verdana" w:cs="Calibri"/>
                      <w:b/>
                      <w:bCs/>
                      <w:color w:val="000000"/>
                      <w:sz w:val="16"/>
                      <w:szCs w:val="16"/>
                      <w:lang w:val="lt-LT" w:eastAsia="et-EE"/>
                    </w:rPr>
                    <w:t>30</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271</w:t>
                  </w:r>
                </w:p>
              </w:tc>
              <w:tc>
                <w:tcPr>
                  <w:tcW w:w="1078" w:type="dxa"/>
                  <w:hideMark/>
                </w:tcPr>
                <w:p w14:paraId="50101189" w14:textId="2E7C2E40" w:rsidR="000C34A6" w:rsidRPr="008048D3" w:rsidRDefault="000C34A6" w:rsidP="000C34A6">
                  <w:pPr>
                    <w:jc w:val="right"/>
                    <w:rPr>
                      <w:rFonts w:ascii="Verdana" w:hAnsi="Verdana"/>
                      <w:b/>
                      <w:color w:val="000000"/>
                      <w:sz w:val="16"/>
                      <w:lang w:val="lt-LT"/>
                    </w:rPr>
                  </w:pPr>
                  <w:r w:rsidRPr="008048D3">
                    <w:rPr>
                      <w:rFonts w:ascii="Verdana" w:hAnsi="Verdana" w:cs="Calibri"/>
                      <w:b/>
                      <w:bCs/>
                      <w:color w:val="000000"/>
                      <w:sz w:val="16"/>
                      <w:szCs w:val="16"/>
                      <w:lang w:val="lt-LT" w:eastAsia="et-EE"/>
                    </w:rPr>
                    <w:t>26</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835</w:t>
                  </w:r>
                </w:p>
              </w:tc>
              <w:tc>
                <w:tcPr>
                  <w:tcW w:w="1078" w:type="dxa"/>
                  <w:hideMark/>
                </w:tcPr>
                <w:p w14:paraId="137D94E5" w14:textId="464850F8" w:rsidR="000C34A6" w:rsidRPr="008048D3" w:rsidRDefault="000C34A6" w:rsidP="000C34A6">
                  <w:pPr>
                    <w:jc w:val="right"/>
                    <w:rPr>
                      <w:rFonts w:ascii="Verdana" w:hAnsi="Verdana"/>
                      <w:b/>
                      <w:color w:val="000000"/>
                      <w:sz w:val="16"/>
                      <w:lang w:val="lt-LT"/>
                    </w:rPr>
                  </w:pPr>
                  <w:r w:rsidRPr="008048D3">
                    <w:rPr>
                      <w:rFonts w:ascii="Verdana" w:hAnsi="Verdana" w:cs="Calibri"/>
                      <w:b/>
                      <w:bCs/>
                      <w:color w:val="000000"/>
                      <w:sz w:val="16"/>
                      <w:szCs w:val="16"/>
                      <w:lang w:val="lt-LT" w:eastAsia="et-EE"/>
                    </w:rPr>
                    <w:t>24</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084</w:t>
                  </w:r>
                </w:p>
              </w:tc>
              <w:tc>
                <w:tcPr>
                  <w:tcW w:w="1053" w:type="dxa"/>
                  <w:hideMark/>
                </w:tcPr>
                <w:p w14:paraId="53C5E178" w14:textId="285A23E1"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27</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991</w:t>
                  </w:r>
                </w:p>
              </w:tc>
            </w:tr>
            <w:tr w:rsidR="000C34A6" w:rsidRPr="008048D3" w14:paraId="07DAFDFC" w14:textId="77777777" w:rsidTr="00CA53A5">
              <w:trPr>
                <w:trHeight w:val="504"/>
              </w:trPr>
              <w:tc>
                <w:tcPr>
                  <w:tcW w:w="2808" w:type="dxa"/>
                  <w:hideMark/>
                </w:tcPr>
                <w:p w14:paraId="44E543F2" w14:textId="343AA25A" w:rsidR="000C34A6" w:rsidRPr="008048D3" w:rsidRDefault="00911E8B" w:rsidP="000C34A6">
                  <w:pPr>
                    <w:jc w:val="both"/>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 xml:space="preserve">Ilgalaikių paskolų ir lizingo įsipareigojimų einamųjų metų dalis </w:t>
                  </w:r>
                </w:p>
              </w:tc>
              <w:tc>
                <w:tcPr>
                  <w:tcW w:w="1233" w:type="dxa"/>
                </w:tcPr>
                <w:p w14:paraId="2A6C720F" w14:textId="3BA06DE8"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7</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022</w:t>
                  </w:r>
                </w:p>
              </w:tc>
              <w:tc>
                <w:tcPr>
                  <w:tcW w:w="1078" w:type="dxa"/>
                  <w:hideMark/>
                </w:tcPr>
                <w:p w14:paraId="1D606671" w14:textId="1D919C5B"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7</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462</w:t>
                  </w:r>
                </w:p>
              </w:tc>
              <w:tc>
                <w:tcPr>
                  <w:tcW w:w="1078" w:type="dxa"/>
                  <w:hideMark/>
                </w:tcPr>
                <w:p w14:paraId="1646D159" w14:textId="793DC4B2"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6</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275</w:t>
                  </w:r>
                </w:p>
              </w:tc>
              <w:tc>
                <w:tcPr>
                  <w:tcW w:w="1053" w:type="dxa"/>
                  <w:hideMark/>
                </w:tcPr>
                <w:p w14:paraId="35DA0412" w14:textId="61D70777"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19</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282</w:t>
                  </w:r>
                </w:p>
              </w:tc>
            </w:tr>
            <w:tr w:rsidR="000C34A6" w:rsidRPr="008048D3" w14:paraId="7F9E2CFA" w14:textId="77777777" w:rsidTr="000C34A6">
              <w:trPr>
                <w:trHeight w:val="250"/>
              </w:trPr>
              <w:tc>
                <w:tcPr>
                  <w:tcW w:w="2808" w:type="dxa"/>
                  <w:hideMark/>
                </w:tcPr>
                <w:p w14:paraId="774E5F0C" w14:textId="18FCE8C8" w:rsidR="000C34A6" w:rsidRPr="008048D3" w:rsidRDefault="00911E8B" w:rsidP="000C34A6">
                  <w:pPr>
                    <w:jc w:val="both"/>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 xml:space="preserve">Trumpalaikės paskolos </w:t>
                  </w:r>
                </w:p>
              </w:tc>
              <w:tc>
                <w:tcPr>
                  <w:tcW w:w="1233" w:type="dxa"/>
                </w:tcPr>
                <w:p w14:paraId="14A13989" w14:textId="50311F10"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21</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673</w:t>
                  </w:r>
                </w:p>
              </w:tc>
              <w:tc>
                <w:tcPr>
                  <w:tcW w:w="1078" w:type="dxa"/>
                  <w:hideMark/>
                </w:tcPr>
                <w:p w14:paraId="0828FF16" w14:textId="0D1C8240"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13</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607</w:t>
                  </w:r>
                </w:p>
              </w:tc>
              <w:tc>
                <w:tcPr>
                  <w:tcW w:w="1078" w:type="dxa"/>
                  <w:hideMark/>
                </w:tcPr>
                <w:p w14:paraId="27CE98F4" w14:textId="17C1B7ED"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5</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350</w:t>
                  </w:r>
                </w:p>
              </w:tc>
              <w:tc>
                <w:tcPr>
                  <w:tcW w:w="1053" w:type="dxa"/>
                  <w:hideMark/>
                </w:tcPr>
                <w:p w14:paraId="3BCE97B1" w14:textId="5794681E"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6</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077</w:t>
                  </w:r>
                </w:p>
              </w:tc>
            </w:tr>
            <w:tr w:rsidR="000C34A6" w:rsidRPr="008048D3" w14:paraId="47A35924" w14:textId="77777777" w:rsidTr="000C34A6">
              <w:trPr>
                <w:trHeight w:val="250"/>
              </w:trPr>
              <w:tc>
                <w:tcPr>
                  <w:tcW w:w="2808" w:type="dxa"/>
                  <w:hideMark/>
                </w:tcPr>
                <w:p w14:paraId="72305E31" w14:textId="76A662BC" w:rsidR="000C34A6" w:rsidRPr="008048D3" w:rsidRDefault="00911E8B" w:rsidP="000C34A6">
                  <w:pPr>
                    <w:jc w:val="both"/>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 xml:space="preserve">Prekybos mokėtinos sumos </w:t>
                  </w:r>
                </w:p>
              </w:tc>
              <w:tc>
                <w:tcPr>
                  <w:tcW w:w="1233" w:type="dxa"/>
                </w:tcPr>
                <w:p w14:paraId="449A62E1" w14:textId="70DC386E"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14</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358</w:t>
                  </w:r>
                </w:p>
              </w:tc>
              <w:tc>
                <w:tcPr>
                  <w:tcW w:w="1078" w:type="dxa"/>
                  <w:hideMark/>
                </w:tcPr>
                <w:p w14:paraId="71D02CEC" w14:textId="501219C3"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14</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467</w:t>
                  </w:r>
                </w:p>
              </w:tc>
              <w:tc>
                <w:tcPr>
                  <w:tcW w:w="1078" w:type="dxa"/>
                  <w:hideMark/>
                </w:tcPr>
                <w:p w14:paraId="5A585C1C" w14:textId="1AA925AB"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8</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796</w:t>
                  </w:r>
                </w:p>
              </w:tc>
              <w:tc>
                <w:tcPr>
                  <w:tcW w:w="1053" w:type="dxa"/>
                  <w:hideMark/>
                </w:tcPr>
                <w:p w14:paraId="0AD27A1D" w14:textId="1563B205"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8</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473</w:t>
                  </w:r>
                </w:p>
              </w:tc>
            </w:tr>
            <w:tr w:rsidR="000C34A6" w:rsidRPr="008048D3" w14:paraId="6273DC7F" w14:textId="77777777" w:rsidTr="000C34A6">
              <w:trPr>
                <w:trHeight w:val="250"/>
              </w:trPr>
              <w:tc>
                <w:tcPr>
                  <w:tcW w:w="2808" w:type="dxa"/>
                  <w:hideMark/>
                </w:tcPr>
                <w:p w14:paraId="609F932B" w14:textId="09631087" w:rsidR="000C34A6" w:rsidRPr="008048D3" w:rsidRDefault="00911E8B" w:rsidP="00911E8B">
                  <w:pPr>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Kiti trumpalaikiai įsipareigojimai</w:t>
                  </w:r>
                  <w:r w:rsidR="000C34A6" w:rsidRPr="008048D3">
                    <w:rPr>
                      <w:rStyle w:val="FootnoteReference"/>
                      <w:rFonts w:ascii="Verdana" w:hAnsi="Verdana" w:cs="Calibri"/>
                      <w:color w:val="000000"/>
                      <w:sz w:val="16"/>
                      <w:szCs w:val="16"/>
                      <w:lang w:val="lt-LT" w:eastAsia="et-EE"/>
                    </w:rPr>
                    <w:footnoteReference w:id="4"/>
                  </w:r>
                </w:p>
              </w:tc>
              <w:tc>
                <w:tcPr>
                  <w:tcW w:w="1233" w:type="dxa"/>
                </w:tcPr>
                <w:p w14:paraId="64DDB156" w14:textId="23EE1EB4"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5</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711</w:t>
                  </w:r>
                </w:p>
              </w:tc>
              <w:tc>
                <w:tcPr>
                  <w:tcW w:w="1078" w:type="dxa"/>
                  <w:vAlign w:val="center"/>
                  <w:hideMark/>
                </w:tcPr>
                <w:p w14:paraId="27E90C7B" w14:textId="40777D9B"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7</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162</w:t>
                  </w:r>
                </w:p>
              </w:tc>
              <w:tc>
                <w:tcPr>
                  <w:tcW w:w="1078" w:type="dxa"/>
                  <w:vAlign w:val="center"/>
                  <w:hideMark/>
                </w:tcPr>
                <w:p w14:paraId="3290952A" w14:textId="68B629A8"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5</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347</w:t>
                  </w:r>
                </w:p>
              </w:tc>
              <w:tc>
                <w:tcPr>
                  <w:tcW w:w="1053" w:type="dxa"/>
                  <w:vAlign w:val="center"/>
                  <w:hideMark/>
                </w:tcPr>
                <w:p w14:paraId="6FB734DC" w14:textId="6A07BAD5" w:rsidR="000C34A6" w:rsidRPr="008048D3" w:rsidRDefault="000C34A6" w:rsidP="000C34A6">
                  <w:pPr>
                    <w:jc w:val="right"/>
                    <w:rPr>
                      <w:rFonts w:ascii="Verdana" w:hAnsi="Verdana" w:cs="Calibri"/>
                      <w:color w:val="000000"/>
                      <w:sz w:val="16"/>
                      <w:szCs w:val="16"/>
                      <w:lang w:val="lt-LT" w:eastAsia="et-EE"/>
                    </w:rPr>
                  </w:pPr>
                  <w:r w:rsidRPr="008048D3">
                    <w:rPr>
                      <w:rFonts w:ascii="Verdana" w:hAnsi="Verdana" w:cs="Calibri"/>
                      <w:color w:val="000000"/>
                      <w:sz w:val="16"/>
                      <w:szCs w:val="16"/>
                      <w:lang w:val="lt-LT" w:eastAsia="et-EE"/>
                    </w:rPr>
                    <w:t>4</w:t>
                  </w:r>
                  <w:r w:rsidR="00CB07C9" w:rsidRPr="008048D3">
                    <w:rPr>
                      <w:rFonts w:ascii="Verdana" w:hAnsi="Verdana" w:cs="Calibri"/>
                      <w:color w:val="000000"/>
                      <w:sz w:val="16"/>
                      <w:szCs w:val="16"/>
                      <w:lang w:val="lt-LT" w:eastAsia="et-EE"/>
                    </w:rPr>
                    <w:t xml:space="preserve"> </w:t>
                  </w:r>
                  <w:r w:rsidRPr="008048D3">
                    <w:rPr>
                      <w:rFonts w:ascii="Verdana" w:hAnsi="Verdana" w:cs="Calibri"/>
                      <w:color w:val="000000"/>
                      <w:sz w:val="16"/>
                      <w:szCs w:val="16"/>
                      <w:lang w:val="lt-LT" w:eastAsia="et-EE"/>
                    </w:rPr>
                    <w:t>313</w:t>
                  </w:r>
                </w:p>
              </w:tc>
            </w:tr>
            <w:tr w:rsidR="000C34A6" w:rsidRPr="008048D3" w14:paraId="30054825" w14:textId="77777777" w:rsidTr="000C34A6">
              <w:trPr>
                <w:trHeight w:val="250"/>
              </w:trPr>
              <w:tc>
                <w:tcPr>
                  <w:tcW w:w="2808" w:type="dxa"/>
                  <w:hideMark/>
                </w:tcPr>
                <w:p w14:paraId="11DEE8A7" w14:textId="52AA704C" w:rsidR="000C34A6" w:rsidRPr="008048D3" w:rsidRDefault="008756F0" w:rsidP="000C34A6">
                  <w:pPr>
                    <w:jc w:val="both"/>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 xml:space="preserve">Trumpalaikiai įsipareigojimai, iš viso </w:t>
                  </w:r>
                </w:p>
              </w:tc>
              <w:tc>
                <w:tcPr>
                  <w:tcW w:w="1233" w:type="dxa"/>
                </w:tcPr>
                <w:p w14:paraId="2F901374" w14:textId="5E04A275"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48</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764</w:t>
                  </w:r>
                </w:p>
              </w:tc>
              <w:tc>
                <w:tcPr>
                  <w:tcW w:w="1078" w:type="dxa"/>
                  <w:hideMark/>
                </w:tcPr>
                <w:p w14:paraId="4547193D" w14:textId="14BE78B1"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42</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698</w:t>
                  </w:r>
                </w:p>
              </w:tc>
              <w:tc>
                <w:tcPr>
                  <w:tcW w:w="1078" w:type="dxa"/>
                  <w:hideMark/>
                </w:tcPr>
                <w:p w14:paraId="53A019AB" w14:textId="3E62EA2B"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25</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768</w:t>
                  </w:r>
                </w:p>
              </w:tc>
              <w:tc>
                <w:tcPr>
                  <w:tcW w:w="1053" w:type="dxa"/>
                  <w:hideMark/>
                </w:tcPr>
                <w:p w14:paraId="40058D2A" w14:textId="654FC951"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38</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145</w:t>
                  </w:r>
                </w:p>
              </w:tc>
            </w:tr>
            <w:tr w:rsidR="000C34A6" w:rsidRPr="008048D3" w14:paraId="1753E532" w14:textId="77777777" w:rsidTr="000C34A6">
              <w:trPr>
                <w:trHeight w:val="250"/>
              </w:trPr>
              <w:tc>
                <w:tcPr>
                  <w:tcW w:w="2808" w:type="dxa"/>
                  <w:hideMark/>
                </w:tcPr>
                <w:p w14:paraId="55AD7CA5" w14:textId="3829F31E" w:rsidR="000C34A6" w:rsidRPr="008048D3" w:rsidRDefault="008756F0" w:rsidP="000C34A6">
                  <w:pPr>
                    <w:jc w:val="both"/>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 xml:space="preserve">Įsipareigojimai, iš viso </w:t>
                  </w:r>
                </w:p>
              </w:tc>
              <w:tc>
                <w:tcPr>
                  <w:tcW w:w="1233" w:type="dxa"/>
                </w:tcPr>
                <w:p w14:paraId="7B93B189" w14:textId="134CB62C"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79</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035</w:t>
                  </w:r>
                </w:p>
              </w:tc>
              <w:tc>
                <w:tcPr>
                  <w:tcW w:w="1078" w:type="dxa"/>
                  <w:hideMark/>
                </w:tcPr>
                <w:p w14:paraId="6C0ECEAD" w14:textId="60E470A9"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69</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533</w:t>
                  </w:r>
                </w:p>
              </w:tc>
              <w:tc>
                <w:tcPr>
                  <w:tcW w:w="1078" w:type="dxa"/>
                  <w:hideMark/>
                </w:tcPr>
                <w:p w14:paraId="0F1BB112" w14:textId="6DFB94EE"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49</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852</w:t>
                  </w:r>
                </w:p>
              </w:tc>
              <w:tc>
                <w:tcPr>
                  <w:tcW w:w="1053" w:type="dxa"/>
                  <w:hideMark/>
                </w:tcPr>
                <w:p w14:paraId="3464BA82" w14:textId="33F00EB7"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66</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136</w:t>
                  </w:r>
                </w:p>
              </w:tc>
            </w:tr>
            <w:tr w:rsidR="000C34A6" w:rsidRPr="008048D3" w14:paraId="3190A50C" w14:textId="77777777" w:rsidTr="000C34A6">
              <w:trPr>
                <w:trHeight w:val="250"/>
              </w:trPr>
              <w:tc>
                <w:tcPr>
                  <w:tcW w:w="2808" w:type="dxa"/>
                  <w:hideMark/>
                </w:tcPr>
                <w:p w14:paraId="088C6C16" w14:textId="702DF640" w:rsidR="000C34A6" w:rsidRPr="008048D3" w:rsidRDefault="008756F0" w:rsidP="008756F0">
                  <w:pPr>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 xml:space="preserve">Nuosavybė ir įsipareigojimai, iš viso </w:t>
                  </w:r>
                </w:p>
              </w:tc>
              <w:tc>
                <w:tcPr>
                  <w:tcW w:w="1233" w:type="dxa"/>
                </w:tcPr>
                <w:p w14:paraId="0E1B2EF5" w14:textId="6606B1EF"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158</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675</w:t>
                  </w:r>
                </w:p>
              </w:tc>
              <w:tc>
                <w:tcPr>
                  <w:tcW w:w="1078" w:type="dxa"/>
                  <w:hideMark/>
                </w:tcPr>
                <w:p w14:paraId="43E531DD" w14:textId="53F4B8C7"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148</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548</w:t>
                  </w:r>
                </w:p>
              </w:tc>
              <w:tc>
                <w:tcPr>
                  <w:tcW w:w="1078" w:type="dxa"/>
                  <w:hideMark/>
                </w:tcPr>
                <w:p w14:paraId="4AB6C25A" w14:textId="2E7B7980"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122</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090</w:t>
                  </w:r>
                </w:p>
              </w:tc>
              <w:tc>
                <w:tcPr>
                  <w:tcW w:w="1053" w:type="dxa"/>
                  <w:hideMark/>
                </w:tcPr>
                <w:p w14:paraId="604AD315" w14:textId="20C7373C"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b/>
                      <w:bCs/>
                      <w:color w:val="000000"/>
                      <w:sz w:val="16"/>
                      <w:szCs w:val="16"/>
                      <w:lang w:val="lt-LT" w:eastAsia="et-EE"/>
                    </w:rPr>
                    <w:t>135</w:t>
                  </w:r>
                  <w:r w:rsidR="00CB07C9" w:rsidRPr="008048D3">
                    <w:rPr>
                      <w:rFonts w:ascii="Verdana" w:hAnsi="Verdana" w:cs="Calibri"/>
                      <w:b/>
                      <w:bCs/>
                      <w:color w:val="000000"/>
                      <w:sz w:val="16"/>
                      <w:szCs w:val="16"/>
                      <w:lang w:val="lt-LT" w:eastAsia="et-EE"/>
                    </w:rPr>
                    <w:t xml:space="preserve"> </w:t>
                  </w:r>
                  <w:r w:rsidRPr="008048D3">
                    <w:rPr>
                      <w:rFonts w:ascii="Verdana" w:hAnsi="Verdana" w:cs="Calibri"/>
                      <w:b/>
                      <w:bCs/>
                      <w:color w:val="000000"/>
                      <w:sz w:val="16"/>
                      <w:szCs w:val="16"/>
                      <w:lang w:val="lt-LT" w:eastAsia="et-EE"/>
                    </w:rPr>
                    <w:t>266</w:t>
                  </w:r>
                </w:p>
              </w:tc>
            </w:tr>
            <w:tr w:rsidR="000C34A6" w:rsidRPr="008048D3" w14:paraId="04028709" w14:textId="77777777" w:rsidTr="000C34A6">
              <w:trPr>
                <w:trHeight w:val="250"/>
              </w:trPr>
              <w:tc>
                <w:tcPr>
                  <w:tcW w:w="2808" w:type="dxa"/>
                  <w:vAlign w:val="bottom"/>
                </w:tcPr>
                <w:p w14:paraId="15187DBA" w14:textId="1ECB0A9D" w:rsidR="000C34A6" w:rsidRPr="008048D3" w:rsidRDefault="008756F0" w:rsidP="000C34A6">
                  <w:pPr>
                    <w:jc w:val="both"/>
                    <w:rPr>
                      <w:rFonts w:ascii="Verdana" w:hAnsi="Verdana" w:cs="Calibri"/>
                      <w:b/>
                      <w:bCs/>
                      <w:color w:val="000000"/>
                      <w:sz w:val="16"/>
                      <w:szCs w:val="16"/>
                      <w:lang w:val="lt-LT" w:eastAsia="et-EE"/>
                    </w:rPr>
                  </w:pPr>
                  <w:r w:rsidRPr="008048D3">
                    <w:rPr>
                      <w:rFonts w:ascii="Verdana" w:hAnsi="Verdana" w:cs="Calibri"/>
                      <w:sz w:val="16"/>
                      <w:szCs w:val="16"/>
                      <w:lang w:val="lt-LT"/>
                    </w:rPr>
                    <w:t>Finansinė skola (trumpalaikė ir ilgalaikė, įskaitant lizingo įsipareigojimus)</w:t>
                  </w:r>
                </w:p>
              </w:tc>
              <w:tc>
                <w:tcPr>
                  <w:tcW w:w="1233" w:type="dxa"/>
                </w:tcPr>
                <w:p w14:paraId="679BFD2B" w14:textId="050FB66A" w:rsidR="000C34A6" w:rsidRPr="008048D3" w:rsidRDefault="000C34A6" w:rsidP="000C34A6">
                  <w:pPr>
                    <w:jc w:val="right"/>
                    <w:rPr>
                      <w:rFonts w:ascii="Verdana" w:hAnsi="Verdana" w:cs="Calibri"/>
                      <w:sz w:val="16"/>
                      <w:szCs w:val="16"/>
                      <w:lang w:val="lt-LT"/>
                    </w:rPr>
                  </w:pPr>
                  <w:r w:rsidRPr="008048D3">
                    <w:rPr>
                      <w:rFonts w:ascii="Verdana" w:hAnsi="Verdana" w:cs="Calibri"/>
                      <w:sz w:val="16"/>
                      <w:szCs w:val="16"/>
                      <w:lang w:val="lt-LT"/>
                    </w:rPr>
                    <w:t>54</w:t>
                  </w:r>
                  <w:r w:rsidR="00CB07C9" w:rsidRPr="008048D3">
                    <w:rPr>
                      <w:rFonts w:ascii="Verdana" w:hAnsi="Verdana" w:cs="Calibri"/>
                      <w:sz w:val="16"/>
                      <w:szCs w:val="16"/>
                      <w:lang w:val="lt-LT"/>
                    </w:rPr>
                    <w:t xml:space="preserve"> </w:t>
                  </w:r>
                  <w:r w:rsidRPr="008048D3">
                    <w:rPr>
                      <w:rFonts w:ascii="Verdana" w:hAnsi="Verdana" w:cs="Calibri"/>
                      <w:sz w:val="16"/>
                      <w:szCs w:val="16"/>
                      <w:lang w:val="lt-LT"/>
                    </w:rPr>
                    <w:t>622</w:t>
                  </w:r>
                </w:p>
              </w:tc>
              <w:tc>
                <w:tcPr>
                  <w:tcW w:w="1078" w:type="dxa"/>
                </w:tcPr>
                <w:p w14:paraId="664C4817" w14:textId="0E41696A"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sz w:val="16"/>
                      <w:szCs w:val="16"/>
                      <w:lang w:val="lt-LT"/>
                    </w:rPr>
                    <w:t>43</w:t>
                  </w:r>
                  <w:r w:rsidR="00CB07C9" w:rsidRPr="008048D3">
                    <w:rPr>
                      <w:rFonts w:ascii="Verdana" w:hAnsi="Verdana" w:cs="Calibri"/>
                      <w:sz w:val="16"/>
                      <w:szCs w:val="16"/>
                      <w:lang w:val="lt-LT"/>
                    </w:rPr>
                    <w:t xml:space="preserve"> </w:t>
                  </w:r>
                  <w:r w:rsidRPr="008048D3">
                    <w:rPr>
                      <w:rFonts w:ascii="Verdana" w:hAnsi="Verdana" w:cs="Calibri"/>
                      <w:sz w:val="16"/>
                      <w:szCs w:val="16"/>
                      <w:lang w:val="lt-LT"/>
                    </w:rPr>
                    <w:t>591</w:t>
                  </w:r>
                </w:p>
              </w:tc>
              <w:tc>
                <w:tcPr>
                  <w:tcW w:w="1078" w:type="dxa"/>
                </w:tcPr>
                <w:p w14:paraId="177682A9" w14:textId="0542AAD8"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sz w:val="16"/>
                      <w:szCs w:val="16"/>
                      <w:lang w:val="lt-LT"/>
                    </w:rPr>
                    <w:t>31</w:t>
                  </w:r>
                  <w:r w:rsidR="00CB07C9" w:rsidRPr="008048D3">
                    <w:rPr>
                      <w:rFonts w:ascii="Verdana" w:hAnsi="Verdana" w:cs="Calibri"/>
                      <w:sz w:val="16"/>
                      <w:szCs w:val="16"/>
                      <w:lang w:val="lt-LT"/>
                    </w:rPr>
                    <w:t xml:space="preserve"> </w:t>
                  </w:r>
                  <w:r w:rsidRPr="008048D3">
                    <w:rPr>
                      <w:rFonts w:ascii="Verdana" w:hAnsi="Verdana" w:cs="Calibri"/>
                      <w:sz w:val="16"/>
                      <w:szCs w:val="16"/>
                      <w:lang w:val="lt-LT"/>
                    </w:rPr>
                    <w:t>990</w:t>
                  </w:r>
                </w:p>
              </w:tc>
              <w:tc>
                <w:tcPr>
                  <w:tcW w:w="1053" w:type="dxa"/>
                </w:tcPr>
                <w:p w14:paraId="387F3AE0" w14:textId="59EFBC96"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sz w:val="16"/>
                      <w:szCs w:val="16"/>
                      <w:lang w:val="lt-LT"/>
                    </w:rPr>
                    <w:t>46</w:t>
                  </w:r>
                  <w:r w:rsidR="00CB07C9" w:rsidRPr="008048D3">
                    <w:rPr>
                      <w:rFonts w:ascii="Verdana" w:hAnsi="Verdana" w:cs="Calibri"/>
                      <w:sz w:val="16"/>
                      <w:szCs w:val="16"/>
                      <w:lang w:val="lt-LT"/>
                    </w:rPr>
                    <w:t xml:space="preserve"> </w:t>
                  </w:r>
                  <w:r w:rsidRPr="008048D3">
                    <w:rPr>
                      <w:rFonts w:ascii="Verdana" w:hAnsi="Verdana" w:cs="Calibri"/>
                      <w:sz w:val="16"/>
                      <w:szCs w:val="16"/>
                      <w:lang w:val="lt-LT"/>
                    </w:rPr>
                    <w:t>678</w:t>
                  </w:r>
                </w:p>
              </w:tc>
            </w:tr>
            <w:tr w:rsidR="000C34A6" w:rsidRPr="008048D3" w14:paraId="72FF46D9" w14:textId="77777777" w:rsidTr="000C34A6">
              <w:trPr>
                <w:trHeight w:val="250"/>
              </w:trPr>
              <w:tc>
                <w:tcPr>
                  <w:tcW w:w="2808" w:type="dxa"/>
                  <w:vAlign w:val="bottom"/>
                </w:tcPr>
                <w:p w14:paraId="700307B5" w14:textId="652028E5" w:rsidR="000C34A6" w:rsidRPr="008048D3" w:rsidRDefault="008756F0" w:rsidP="000C34A6">
                  <w:pPr>
                    <w:jc w:val="both"/>
                    <w:rPr>
                      <w:rFonts w:ascii="Verdana" w:hAnsi="Verdana" w:cs="Calibri"/>
                      <w:b/>
                      <w:bCs/>
                      <w:color w:val="000000"/>
                      <w:sz w:val="16"/>
                      <w:szCs w:val="16"/>
                      <w:lang w:val="lt-LT" w:eastAsia="et-EE"/>
                    </w:rPr>
                  </w:pPr>
                  <w:r w:rsidRPr="008048D3">
                    <w:rPr>
                      <w:rFonts w:ascii="Verdana" w:hAnsi="Verdana" w:cs="Calibri"/>
                      <w:sz w:val="16"/>
                      <w:szCs w:val="16"/>
                      <w:lang w:val="lt-LT"/>
                    </w:rPr>
                    <w:t>Investuotas kapitalas (finansinė skola ir visas nuosavas kapitalas)</w:t>
                  </w:r>
                </w:p>
              </w:tc>
              <w:tc>
                <w:tcPr>
                  <w:tcW w:w="1233" w:type="dxa"/>
                </w:tcPr>
                <w:p w14:paraId="3F4BA7BC" w14:textId="145C6F54" w:rsidR="000C34A6" w:rsidRPr="008048D3" w:rsidRDefault="000C34A6" w:rsidP="000C34A6">
                  <w:pPr>
                    <w:jc w:val="right"/>
                    <w:rPr>
                      <w:rFonts w:ascii="Verdana" w:hAnsi="Verdana" w:cs="Calibri"/>
                      <w:sz w:val="16"/>
                      <w:szCs w:val="16"/>
                      <w:lang w:val="lt-LT"/>
                    </w:rPr>
                  </w:pPr>
                  <w:r w:rsidRPr="008048D3">
                    <w:rPr>
                      <w:rFonts w:ascii="Verdana" w:hAnsi="Verdana" w:cs="Calibri"/>
                      <w:sz w:val="16"/>
                      <w:szCs w:val="16"/>
                      <w:lang w:val="lt-LT"/>
                    </w:rPr>
                    <w:t>134</w:t>
                  </w:r>
                  <w:r w:rsidR="00CB07C9" w:rsidRPr="008048D3">
                    <w:rPr>
                      <w:rFonts w:ascii="Verdana" w:hAnsi="Verdana" w:cs="Calibri"/>
                      <w:sz w:val="16"/>
                      <w:szCs w:val="16"/>
                      <w:lang w:val="lt-LT"/>
                    </w:rPr>
                    <w:t xml:space="preserve"> </w:t>
                  </w:r>
                  <w:r w:rsidRPr="008048D3">
                    <w:rPr>
                      <w:rFonts w:ascii="Verdana" w:hAnsi="Verdana" w:cs="Calibri"/>
                      <w:sz w:val="16"/>
                      <w:szCs w:val="16"/>
                      <w:lang w:val="lt-LT"/>
                    </w:rPr>
                    <w:t>262</w:t>
                  </w:r>
                </w:p>
              </w:tc>
              <w:tc>
                <w:tcPr>
                  <w:tcW w:w="1078" w:type="dxa"/>
                </w:tcPr>
                <w:p w14:paraId="546EB03C" w14:textId="4361E40B"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sz w:val="16"/>
                      <w:szCs w:val="16"/>
                      <w:lang w:val="lt-LT"/>
                    </w:rPr>
                    <w:t>122</w:t>
                  </w:r>
                  <w:r w:rsidR="00CB07C9" w:rsidRPr="008048D3">
                    <w:rPr>
                      <w:rFonts w:ascii="Verdana" w:hAnsi="Verdana" w:cs="Calibri"/>
                      <w:sz w:val="16"/>
                      <w:szCs w:val="16"/>
                      <w:lang w:val="lt-LT"/>
                    </w:rPr>
                    <w:t xml:space="preserve"> </w:t>
                  </w:r>
                  <w:r w:rsidRPr="008048D3">
                    <w:rPr>
                      <w:rFonts w:ascii="Verdana" w:hAnsi="Verdana" w:cs="Calibri"/>
                      <w:sz w:val="16"/>
                      <w:szCs w:val="16"/>
                      <w:lang w:val="lt-LT"/>
                    </w:rPr>
                    <w:t>606</w:t>
                  </w:r>
                </w:p>
              </w:tc>
              <w:tc>
                <w:tcPr>
                  <w:tcW w:w="1078" w:type="dxa"/>
                </w:tcPr>
                <w:p w14:paraId="356BDEF1" w14:textId="60893E41"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sz w:val="16"/>
                      <w:szCs w:val="16"/>
                      <w:lang w:val="lt-LT"/>
                    </w:rPr>
                    <w:t>104</w:t>
                  </w:r>
                  <w:r w:rsidR="00CB07C9" w:rsidRPr="008048D3">
                    <w:rPr>
                      <w:rFonts w:ascii="Verdana" w:hAnsi="Verdana" w:cs="Calibri"/>
                      <w:sz w:val="16"/>
                      <w:szCs w:val="16"/>
                      <w:lang w:val="lt-LT"/>
                    </w:rPr>
                    <w:t xml:space="preserve"> </w:t>
                  </w:r>
                  <w:r w:rsidRPr="008048D3">
                    <w:rPr>
                      <w:rFonts w:ascii="Verdana" w:hAnsi="Verdana" w:cs="Calibri"/>
                      <w:sz w:val="16"/>
                      <w:szCs w:val="16"/>
                      <w:lang w:val="lt-LT"/>
                    </w:rPr>
                    <w:t>228</w:t>
                  </w:r>
                </w:p>
              </w:tc>
              <w:tc>
                <w:tcPr>
                  <w:tcW w:w="1053" w:type="dxa"/>
                </w:tcPr>
                <w:p w14:paraId="065481AC" w14:textId="326381D7" w:rsidR="000C34A6" w:rsidRPr="008048D3" w:rsidRDefault="000C34A6" w:rsidP="000C34A6">
                  <w:pPr>
                    <w:jc w:val="right"/>
                    <w:rPr>
                      <w:rFonts w:ascii="Verdana" w:hAnsi="Verdana" w:cs="Calibri"/>
                      <w:b/>
                      <w:bCs/>
                      <w:color w:val="000000"/>
                      <w:sz w:val="16"/>
                      <w:szCs w:val="16"/>
                      <w:lang w:val="lt-LT" w:eastAsia="et-EE"/>
                    </w:rPr>
                  </w:pPr>
                  <w:r w:rsidRPr="008048D3">
                    <w:rPr>
                      <w:rFonts w:ascii="Verdana" w:hAnsi="Verdana" w:cs="Calibri"/>
                      <w:sz w:val="16"/>
                      <w:szCs w:val="16"/>
                      <w:lang w:val="lt-LT"/>
                    </w:rPr>
                    <w:t>115</w:t>
                  </w:r>
                  <w:r w:rsidR="00CB07C9" w:rsidRPr="008048D3">
                    <w:rPr>
                      <w:rFonts w:ascii="Verdana" w:hAnsi="Verdana" w:cs="Calibri"/>
                      <w:sz w:val="16"/>
                      <w:szCs w:val="16"/>
                      <w:lang w:val="lt-LT"/>
                    </w:rPr>
                    <w:t xml:space="preserve"> </w:t>
                  </w:r>
                  <w:r w:rsidRPr="008048D3">
                    <w:rPr>
                      <w:rFonts w:ascii="Verdana" w:hAnsi="Verdana" w:cs="Calibri"/>
                      <w:sz w:val="16"/>
                      <w:szCs w:val="16"/>
                      <w:lang w:val="lt-LT"/>
                    </w:rPr>
                    <w:t>808</w:t>
                  </w:r>
                </w:p>
              </w:tc>
            </w:tr>
          </w:tbl>
          <w:p w14:paraId="464DE8D8" w14:textId="505C5B4E" w:rsidR="000C34A6" w:rsidRPr="008048D3" w:rsidRDefault="008D2A19" w:rsidP="000C34A6">
            <w:pPr>
              <w:tabs>
                <w:tab w:val="left" w:pos="991"/>
                <w:tab w:val="left" w:pos="7848"/>
              </w:tabs>
              <w:rPr>
                <w:rFonts w:ascii="Verdana" w:hAnsi="Verdana"/>
                <w:i/>
                <w:sz w:val="16"/>
                <w:szCs w:val="16"/>
                <w:lang w:val="lt-LT"/>
              </w:rPr>
            </w:pPr>
            <w:r w:rsidRPr="008048D3">
              <w:rPr>
                <w:rFonts w:ascii="Verdana" w:hAnsi="Verdana"/>
                <w:i/>
                <w:sz w:val="16"/>
                <w:szCs w:val="16"/>
                <w:lang w:val="lt-LT"/>
              </w:rPr>
              <w:t xml:space="preserve">Šaltiniai: Konsoliduotos finansinės ataskaitos, Konsoliduota tarpinė informacija </w:t>
            </w:r>
          </w:p>
          <w:p w14:paraId="35EA839B" w14:textId="77777777" w:rsidR="000C34A6" w:rsidRPr="008048D3" w:rsidRDefault="000C34A6" w:rsidP="000C34A6">
            <w:pPr>
              <w:ind w:right="-32"/>
              <w:jc w:val="both"/>
              <w:rPr>
                <w:rFonts w:ascii="Verdana" w:hAnsi="Verdana" w:cs="Arial"/>
                <w:sz w:val="16"/>
                <w:szCs w:val="16"/>
                <w:lang w:val="lt-LT"/>
              </w:rPr>
            </w:pPr>
          </w:p>
          <w:p w14:paraId="7FB64D5D" w14:textId="0EB635B0" w:rsidR="002E7FC3" w:rsidRPr="008048D3" w:rsidRDefault="00847F92" w:rsidP="00325B63">
            <w:pPr>
              <w:tabs>
                <w:tab w:val="left" w:pos="991"/>
                <w:tab w:val="left" w:pos="7848"/>
              </w:tabs>
              <w:rPr>
                <w:rFonts w:ascii="Verdana" w:hAnsi="Verdana" w:cs="Arial"/>
                <w:sz w:val="16"/>
                <w:szCs w:val="16"/>
                <w:lang w:val="lt-LT"/>
              </w:rPr>
            </w:pPr>
            <w:r w:rsidRPr="008048D3">
              <w:rPr>
                <w:rFonts w:ascii="Verdana" w:hAnsi="Verdana" w:cs="Arial"/>
                <w:sz w:val="16"/>
                <w:szCs w:val="16"/>
                <w:lang w:val="lt-LT"/>
              </w:rPr>
              <w:t>Atrinkta f</w:t>
            </w:r>
            <w:r w:rsidR="002E7FC3" w:rsidRPr="008048D3">
              <w:rPr>
                <w:rFonts w:ascii="Verdana" w:hAnsi="Verdana" w:cs="Arial"/>
                <w:sz w:val="16"/>
                <w:szCs w:val="16"/>
                <w:lang w:val="lt-LT"/>
              </w:rPr>
              <w:t xml:space="preserve">inansinė informacija iš Grupės </w:t>
            </w:r>
            <w:r w:rsidR="006A7C7E" w:rsidRPr="008048D3">
              <w:rPr>
                <w:rFonts w:ascii="Verdana" w:hAnsi="Verdana" w:cs="Arial"/>
                <w:sz w:val="16"/>
                <w:szCs w:val="16"/>
                <w:lang w:val="lt-LT"/>
              </w:rPr>
              <w:t xml:space="preserve">audituotų </w:t>
            </w:r>
            <w:r w:rsidR="008756F0" w:rsidRPr="008048D3">
              <w:rPr>
                <w:rFonts w:ascii="Verdana" w:hAnsi="Verdana" w:cs="Arial"/>
                <w:sz w:val="16"/>
                <w:szCs w:val="16"/>
                <w:lang w:val="lt-LT"/>
              </w:rPr>
              <w:t xml:space="preserve">metinių ir neaudituotų tarpinių </w:t>
            </w:r>
            <w:r w:rsidR="002E7FC3" w:rsidRPr="008048D3">
              <w:rPr>
                <w:rFonts w:ascii="Verdana" w:hAnsi="Verdana" w:cs="Arial"/>
                <w:sz w:val="16"/>
                <w:szCs w:val="16"/>
                <w:lang w:val="lt-LT"/>
              </w:rPr>
              <w:t>pinigų srautų ataskaitų (tūkst. EUR)</w:t>
            </w:r>
          </w:p>
          <w:p w14:paraId="52913AF2" w14:textId="77777777" w:rsidR="007248A0" w:rsidRPr="008048D3" w:rsidRDefault="007248A0" w:rsidP="007248A0">
            <w:pPr>
              <w:tabs>
                <w:tab w:val="left" w:pos="991"/>
                <w:tab w:val="left" w:pos="7848"/>
              </w:tabs>
              <w:rPr>
                <w:rFonts w:ascii="Verdana" w:hAnsi="Verdana" w:cs="Arial"/>
                <w:sz w:val="16"/>
                <w:szCs w:val="16"/>
                <w:lang w:val="lt-LT"/>
              </w:rPr>
            </w:pPr>
          </w:p>
          <w:tbl>
            <w:tblPr>
              <w:tblStyle w:val="TableGridLight1"/>
              <w:tblW w:w="5000" w:type="pct"/>
              <w:tblLayout w:type="fixed"/>
              <w:tblLook w:val="04A0" w:firstRow="1" w:lastRow="0" w:firstColumn="1" w:lastColumn="0" w:noHBand="0" w:noVBand="1"/>
            </w:tblPr>
            <w:tblGrid>
              <w:gridCol w:w="1967"/>
              <w:gridCol w:w="1126"/>
              <w:gridCol w:w="1127"/>
              <w:gridCol w:w="1126"/>
              <w:gridCol w:w="1124"/>
              <w:gridCol w:w="1136"/>
            </w:tblGrid>
            <w:tr w:rsidR="007248A0" w:rsidRPr="008048D3" w14:paraId="35FCB4F7" w14:textId="77777777" w:rsidTr="00CA53A5">
              <w:trPr>
                <w:trHeight w:val="630"/>
              </w:trPr>
              <w:tc>
                <w:tcPr>
                  <w:tcW w:w="1293" w:type="pct"/>
                  <w:noWrap/>
                </w:tcPr>
                <w:p w14:paraId="288F2963" w14:textId="3461355C" w:rsidR="007248A0" w:rsidRPr="008048D3" w:rsidRDefault="007248A0" w:rsidP="007248A0">
                  <w:pPr>
                    <w:rPr>
                      <w:rFonts w:ascii="Verdana" w:hAnsi="Verdana" w:cs="Calibri"/>
                      <w:i/>
                      <w:iCs/>
                      <w:color w:val="000000"/>
                      <w:sz w:val="16"/>
                      <w:szCs w:val="16"/>
                      <w:lang w:val="lt-LT"/>
                    </w:rPr>
                  </w:pPr>
                </w:p>
              </w:tc>
              <w:tc>
                <w:tcPr>
                  <w:tcW w:w="740" w:type="pct"/>
                  <w:vAlign w:val="center"/>
                </w:tcPr>
                <w:p w14:paraId="17337BC8" w14:textId="5875AB0E" w:rsidR="007248A0" w:rsidRPr="008048D3" w:rsidRDefault="007248A0" w:rsidP="007248A0">
                  <w:pPr>
                    <w:jc w:val="right"/>
                    <w:rPr>
                      <w:rFonts w:ascii="Verdana" w:hAnsi="Verdana" w:cs="Calibri"/>
                      <w:i/>
                      <w:iCs/>
                      <w:sz w:val="16"/>
                      <w:szCs w:val="16"/>
                      <w:lang w:val="lt-LT"/>
                    </w:rPr>
                  </w:pPr>
                  <w:r w:rsidRPr="008048D3">
                    <w:rPr>
                      <w:rFonts w:ascii="Verdana" w:hAnsi="Verdana" w:cs="Calibri"/>
                      <w:i/>
                      <w:iCs/>
                      <w:sz w:val="16"/>
                      <w:szCs w:val="16"/>
                      <w:lang w:val="lt-LT"/>
                    </w:rPr>
                    <w:t xml:space="preserve">2018 m. kovo 31 d. pasibaigęs ketvirtis </w:t>
                  </w:r>
                </w:p>
              </w:tc>
              <w:tc>
                <w:tcPr>
                  <w:tcW w:w="741" w:type="pct"/>
                  <w:vAlign w:val="center"/>
                </w:tcPr>
                <w:p w14:paraId="2D205FB4" w14:textId="138DBBD8" w:rsidR="007248A0" w:rsidRPr="008048D3" w:rsidRDefault="007248A0" w:rsidP="007248A0">
                  <w:pPr>
                    <w:jc w:val="right"/>
                    <w:rPr>
                      <w:rFonts w:ascii="Verdana" w:hAnsi="Verdana"/>
                      <w:i/>
                      <w:iCs/>
                      <w:color w:val="000000"/>
                      <w:sz w:val="16"/>
                      <w:szCs w:val="16"/>
                      <w:lang w:val="lt-LT" w:eastAsia="lt-LT"/>
                    </w:rPr>
                  </w:pPr>
                  <w:r w:rsidRPr="008048D3">
                    <w:rPr>
                      <w:rFonts w:ascii="Verdana" w:hAnsi="Verdana" w:cs="Calibri"/>
                      <w:i/>
                      <w:iCs/>
                      <w:sz w:val="16"/>
                      <w:szCs w:val="16"/>
                      <w:lang w:val="lt-LT"/>
                    </w:rPr>
                    <w:t>2017 m. kovo 31 d. pasibaigęs ketvirtis</w:t>
                  </w:r>
                </w:p>
              </w:tc>
              <w:tc>
                <w:tcPr>
                  <w:tcW w:w="740" w:type="pct"/>
                </w:tcPr>
                <w:p w14:paraId="4E045122" w14:textId="5C2A1B26" w:rsidR="007248A0" w:rsidRPr="008048D3" w:rsidRDefault="007248A0" w:rsidP="007248A0">
                  <w:pPr>
                    <w:jc w:val="right"/>
                    <w:rPr>
                      <w:rFonts w:ascii="Verdana" w:hAnsi="Verdana" w:cs="Calibri"/>
                      <w:i/>
                      <w:iCs/>
                      <w:color w:val="000000"/>
                      <w:sz w:val="16"/>
                      <w:szCs w:val="16"/>
                      <w:lang w:val="lt-LT"/>
                    </w:rPr>
                  </w:pPr>
                  <w:r w:rsidRPr="008048D3">
                    <w:rPr>
                      <w:rFonts w:ascii="Verdana" w:hAnsi="Verdana" w:cs="Calibri"/>
                      <w:i/>
                      <w:iCs/>
                      <w:sz w:val="16"/>
                      <w:szCs w:val="16"/>
                      <w:lang w:val="lt-LT"/>
                    </w:rPr>
                    <w:t>2017 m. gruodžio 31 d. pasibaigę metai</w:t>
                  </w:r>
                </w:p>
              </w:tc>
              <w:tc>
                <w:tcPr>
                  <w:tcW w:w="739" w:type="pct"/>
                </w:tcPr>
                <w:p w14:paraId="16A96FE7" w14:textId="4E4226E8" w:rsidR="007248A0" w:rsidRPr="008048D3" w:rsidRDefault="007248A0" w:rsidP="007248A0">
                  <w:pPr>
                    <w:jc w:val="right"/>
                    <w:rPr>
                      <w:rFonts w:ascii="Verdana" w:hAnsi="Verdana" w:cs="Calibri"/>
                      <w:i/>
                      <w:iCs/>
                      <w:color w:val="000000"/>
                      <w:sz w:val="16"/>
                      <w:szCs w:val="16"/>
                      <w:lang w:val="lt-LT"/>
                    </w:rPr>
                  </w:pPr>
                  <w:r w:rsidRPr="008048D3">
                    <w:rPr>
                      <w:rFonts w:ascii="Verdana" w:hAnsi="Verdana" w:cs="Calibri"/>
                      <w:i/>
                      <w:iCs/>
                      <w:sz w:val="16"/>
                      <w:szCs w:val="16"/>
                      <w:lang w:val="lt-LT"/>
                    </w:rPr>
                    <w:t>2016 m. gruodžio 31 d. pasibaigę metai</w:t>
                  </w:r>
                </w:p>
              </w:tc>
              <w:tc>
                <w:tcPr>
                  <w:tcW w:w="747" w:type="pct"/>
                </w:tcPr>
                <w:p w14:paraId="7D36AFA1" w14:textId="31F76E98" w:rsidR="007248A0" w:rsidRPr="008048D3" w:rsidRDefault="007248A0" w:rsidP="007248A0">
                  <w:pPr>
                    <w:jc w:val="right"/>
                    <w:rPr>
                      <w:rFonts w:ascii="Verdana" w:hAnsi="Verdana" w:cs="Calibri"/>
                      <w:i/>
                      <w:iCs/>
                      <w:color w:val="000000"/>
                      <w:sz w:val="16"/>
                      <w:szCs w:val="16"/>
                      <w:lang w:val="lt-LT"/>
                    </w:rPr>
                  </w:pPr>
                  <w:r w:rsidRPr="008048D3">
                    <w:rPr>
                      <w:rFonts w:ascii="Verdana" w:hAnsi="Verdana" w:cs="Calibri"/>
                      <w:i/>
                      <w:iCs/>
                      <w:sz w:val="16"/>
                      <w:szCs w:val="16"/>
                      <w:lang w:val="lt-LT"/>
                    </w:rPr>
                    <w:t xml:space="preserve">2015 m. gruodžio 31 d. pasibaigę metai </w:t>
                  </w:r>
                </w:p>
              </w:tc>
            </w:tr>
            <w:tr w:rsidR="007248A0" w:rsidRPr="00CD3453" w14:paraId="373D867A" w14:textId="77777777" w:rsidTr="00CA53A5">
              <w:trPr>
                <w:trHeight w:val="203"/>
              </w:trPr>
              <w:tc>
                <w:tcPr>
                  <w:tcW w:w="1293" w:type="pct"/>
                </w:tcPr>
                <w:p w14:paraId="3AB73CC6" w14:textId="77777777" w:rsidR="007248A0" w:rsidRPr="008048D3" w:rsidRDefault="007248A0" w:rsidP="007248A0">
                  <w:pPr>
                    <w:rPr>
                      <w:rFonts w:ascii="Verdana" w:hAnsi="Verdana" w:cs="Calibri"/>
                      <w:sz w:val="16"/>
                      <w:szCs w:val="16"/>
                      <w:lang w:val="lt-LT"/>
                    </w:rPr>
                  </w:pPr>
                </w:p>
              </w:tc>
              <w:tc>
                <w:tcPr>
                  <w:tcW w:w="1481" w:type="pct"/>
                  <w:gridSpan w:val="2"/>
                </w:tcPr>
                <w:p w14:paraId="22A357FD" w14:textId="54F10E1A" w:rsidR="007248A0" w:rsidRPr="008048D3" w:rsidRDefault="007248A0" w:rsidP="007248A0">
                  <w:pPr>
                    <w:jc w:val="center"/>
                    <w:rPr>
                      <w:rFonts w:ascii="Verdana" w:hAnsi="Verdana"/>
                      <w:color w:val="000000"/>
                      <w:sz w:val="16"/>
                      <w:szCs w:val="16"/>
                      <w:lang w:val="lt-LT" w:eastAsia="lt-LT"/>
                    </w:rPr>
                  </w:pPr>
                  <w:r w:rsidRPr="008048D3">
                    <w:rPr>
                      <w:rFonts w:ascii="Verdana" w:hAnsi="Verdana" w:cs="Calibri"/>
                      <w:i/>
                      <w:color w:val="000000"/>
                      <w:sz w:val="16"/>
                      <w:szCs w:val="16"/>
                      <w:lang w:val="lt-LT" w:eastAsia="et-EE"/>
                    </w:rPr>
                    <w:t xml:space="preserve">neaudituota </w:t>
                  </w:r>
                </w:p>
              </w:tc>
              <w:tc>
                <w:tcPr>
                  <w:tcW w:w="2226" w:type="pct"/>
                  <w:gridSpan w:val="3"/>
                </w:tcPr>
                <w:p w14:paraId="6F735980" w14:textId="0851D57D" w:rsidR="007248A0" w:rsidRPr="008048D3" w:rsidRDefault="007248A0" w:rsidP="007248A0">
                  <w:pPr>
                    <w:jc w:val="center"/>
                    <w:rPr>
                      <w:rFonts w:ascii="Verdana" w:hAnsi="Verdana"/>
                      <w:color w:val="000000"/>
                      <w:sz w:val="16"/>
                      <w:szCs w:val="16"/>
                      <w:lang w:val="lt-LT" w:eastAsia="lt-LT"/>
                    </w:rPr>
                  </w:pPr>
                  <w:r w:rsidRPr="008048D3">
                    <w:rPr>
                      <w:rFonts w:ascii="Verdana" w:hAnsi="Verdana" w:cs="Calibri"/>
                      <w:i/>
                      <w:color w:val="000000"/>
                      <w:sz w:val="16"/>
                      <w:szCs w:val="16"/>
                      <w:lang w:val="lt-LT" w:eastAsia="et-EE"/>
                    </w:rPr>
                    <w:t>audituota</w:t>
                  </w:r>
                </w:p>
              </w:tc>
            </w:tr>
            <w:tr w:rsidR="007248A0" w:rsidRPr="00CD3453" w14:paraId="64E48553" w14:textId="77777777" w:rsidTr="00CA53A5">
              <w:trPr>
                <w:trHeight w:val="493"/>
              </w:trPr>
              <w:tc>
                <w:tcPr>
                  <w:tcW w:w="1293" w:type="pct"/>
                  <w:vAlign w:val="bottom"/>
                </w:tcPr>
                <w:p w14:paraId="4E5CBD47" w14:textId="7AB7A1BC" w:rsidR="007248A0" w:rsidRPr="008048D3" w:rsidRDefault="007248A0" w:rsidP="007248A0">
                  <w:pPr>
                    <w:rPr>
                      <w:rFonts w:ascii="Verdana" w:hAnsi="Verdana" w:cs="Calibri"/>
                      <w:color w:val="000000"/>
                      <w:sz w:val="16"/>
                      <w:szCs w:val="16"/>
                      <w:lang w:val="lt-LT"/>
                    </w:rPr>
                  </w:pPr>
                  <w:r w:rsidRPr="008048D3">
                    <w:rPr>
                      <w:rFonts w:ascii="Verdana" w:hAnsi="Verdana" w:cs="Calibri"/>
                      <w:sz w:val="16"/>
                      <w:szCs w:val="16"/>
                      <w:lang w:val="lt-LT"/>
                    </w:rPr>
                    <w:t>Pagrindinės veiklos pinigų srautai</w:t>
                  </w:r>
                </w:p>
              </w:tc>
              <w:tc>
                <w:tcPr>
                  <w:tcW w:w="740" w:type="pct"/>
                </w:tcPr>
                <w:p w14:paraId="56D62728" w14:textId="7B24A384" w:rsidR="007248A0" w:rsidRPr="008048D3" w:rsidRDefault="007248A0" w:rsidP="007248A0">
                  <w:pPr>
                    <w:jc w:val="right"/>
                    <w:rPr>
                      <w:rFonts w:ascii="Verdana" w:hAnsi="Verdana"/>
                      <w:color w:val="000000"/>
                      <w:sz w:val="16"/>
                      <w:szCs w:val="16"/>
                      <w:lang w:val="lt-LT" w:eastAsia="lt-LT"/>
                    </w:rPr>
                  </w:pPr>
                  <w:r w:rsidRPr="008048D3">
                    <w:rPr>
                      <w:rFonts w:ascii="Verdana" w:hAnsi="Verdana"/>
                      <w:color w:val="000000"/>
                      <w:sz w:val="16"/>
                      <w:szCs w:val="16"/>
                      <w:lang w:val="lt-LT" w:eastAsia="lt-LT"/>
                    </w:rPr>
                    <w:t>(3 162)</w:t>
                  </w:r>
                </w:p>
              </w:tc>
              <w:tc>
                <w:tcPr>
                  <w:tcW w:w="741" w:type="pct"/>
                </w:tcPr>
                <w:p w14:paraId="70A9059E" w14:textId="2C36B9BF" w:rsidR="007248A0" w:rsidRPr="008048D3" w:rsidRDefault="007248A0" w:rsidP="007248A0">
                  <w:pPr>
                    <w:jc w:val="right"/>
                    <w:rPr>
                      <w:rFonts w:ascii="Verdana" w:hAnsi="Verdana"/>
                      <w:color w:val="000000"/>
                      <w:sz w:val="16"/>
                      <w:szCs w:val="16"/>
                      <w:lang w:val="lt-LT" w:eastAsia="lt-LT"/>
                    </w:rPr>
                  </w:pPr>
                  <w:r w:rsidRPr="008048D3">
                    <w:rPr>
                      <w:rFonts w:ascii="Verdana" w:hAnsi="Verdana"/>
                      <w:color w:val="000000"/>
                      <w:sz w:val="16"/>
                      <w:szCs w:val="16"/>
                      <w:lang w:val="lt-LT" w:eastAsia="lt-LT"/>
                    </w:rPr>
                    <w:t>1 165</w:t>
                  </w:r>
                </w:p>
              </w:tc>
              <w:tc>
                <w:tcPr>
                  <w:tcW w:w="740" w:type="pct"/>
                </w:tcPr>
                <w:p w14:paraId="1F49614E" w14:textId="43053722" w:rsidR="007248A0" w:rsidRPr="008048D3" w:rsidRDefault="007248A0" w:rsidP="007248A0">
                  <w:pPr>
                    <w:jc w:val="right"/>
                    <w:rPr>
                      <w:rFonts w:ascii="Verdana" w:hAnsi="Verdana"/>
                      <w:color w:val="000000"/>
                      <w:sz w:val="16"/>
                      <w:szCs w:val="16"/>
                      <w:lang w:val="lt-LT" w:eastAsia="lt-LT"/>
                    </w:rPr>
                  </w:pPr>
                  <w:r w:rsidRPr="008048D3">
                    <w:rPr>
                      <w:rFonts w:ascii="Verdana" w:hAnsi="Verdana"/>
                      <w:color w:val="000000"/>
                      <w:sz w:val="16"/>
                      <w:szCs w:val="16"/>
                      <w:lang w:val="lt-LT" w:eastAsia="lt-LT"/>
                    </w:rPr>
                    <w:t>4 365</w:t>
                  </w:r>
                </w:p>
              </w:tc>
              <w:tc>
                <w:tcPr>
                  <w:tcW w:w="739" w:type="pct"/>
                </w:tcPr>
                <w:p w14:paraId="5D26BE2F" w14:textId="77777777" w:rsidR="007248A0" w:rsidRPr="008048D3" w:rsidRDefault="007248A0" w:rsidP="007248A0">
                  <w:pPr>
                    <w:jc w:val="right"/>
                    <w:rPr>
                      <w:rFonts w:ascii="Verdana" w:hAnsi="Verdana"/>
                      <w:color w:val="000000"/>
                      <w:sz w:val="16"/>
                      <w:szCs w:val="16"/>
                      <w:lang w:val="lt-LT" w:eastAsia="lt-LT"/>
                    </w:rPr>
                  </w:pPr>
                  <w:r w:rsidRPr="008048D3">
                    <w:rPr>
                      <w:rFonts w:ascii="Verdana" w:hAnsi="Verdana"/>
                      <w:color w:val="000000"/>
                      <w:sz w:val="16"/>
                      <w:szCs w:val="16"/>
                      <w:lang w:val="lt-LT" w:eastAsia="lt-LT"/>
                    </w:rPr>
                    <w:t>806</w:t>
                  </w:r>
                </w:p>
              </w:tc>
              <w:tc>
                <w:tcPr>
                  <w:tcW w:w="747" w:type="pct"/>
                </w:tcPr>
                <w:p w14:paraId="325AEA8A" w14:textId="1D8E5316" w:rsidR="007248A0" w:rsidRPr="008048D3" w:rsidRDefault="007248A0" w:rsidP="007248A0">
                  <w:pPr>
                    <w:jc w:val="right"/>
                    <w:rPr>
                      <w:rFonts w:ascii="Verdana" w:hAnsi="Verdana" w:cs="Calibri"/>
                      <w:color w:val="000000"/>
                      <w:sz w:val="16"/>
                      <w:szCs w:val="16"/>
                      <w:lang w:val="lt-LT"/>
                    </w:rPr>
                  </w:pPr>
                  <w:r w:rsidRPr="008048D3">
                    <w:rPr>
                      <w:rFonts w:ascii="Verdana" w:hAnsi="Verdana"/>
                      <w:color w:val="000000"/>
                      <w:sz w:val="16"/>
                      <w:szCs w:val="16"/>
                      <w:lang w:val="lt-LT" w:eastAsia="lt-LT"/>
                    </w:rPr>
                    <w:t>8 059</w:t>
                  </w:r>
                </w:p>
              </w:tc>
            </w:tr>
            <w:tr w:rsidR="007248A0" w:rsidRPr="00CD3453" w14:paraId="4540BE5C" w14:textId="77777777" w:rsidTr="00CA53A5">
              <w:trPr>
                <w:trHeight w:val="493"/>
              </w:trPr>
              <w:tc>
                <w:tcPr>
                  <w:tcW w:w="1293" w:type="pct"/>
                  <w:vAlign w:val="bottom"/>
                </w:tcPr>
                <w:p w14:paraId="2DDBAF26" w14:textId="1DD5E5A3" w:rsidR="007248A0" w:rsidRPr="008048D3" w:rsidRDefault="007248A0" w:rsidP="007248A0">
                  <w:pPr>
                    <w:rPr>
                      <w:rFonts w:ascii="Verdana" w:hAnsi="Verdana" w:cs="Calibri"/>
                      <w:color w:val="000000"/>
                      <w:sz w:val="16"/>
                      <w:szCs w:val="16"/>
                      <w:lang w:val="lt-LT"/>
                    </w:rPr>
                  </w:pPr>
                  <w:r w:rsidRPr="008048D3">
                    <w:rPr>
                      <w:rFonts w:ascii="Verdana" w:hAnsi="Verdana" w:cs="Calibri"/>
                      <w:sz w:val="16"/>
                      <w:szCs w:val="16"/>
                      <w:lang w:val="lt-LT"/>
                    </w:rPr>
                    <w:t>Investicinės veiklos pinigų srautai</w:t>
                  </w:r>
                </w:p>
              </w:tc>
              <w:tc>
                <w:tcPr>
                  <w:tcW w:w="740" w:type="pct"/>
                </w:tcPr>
                <w:p w14:paraId="5FDB1128" w14:textId="05FC6DB1" w:rsidR="007248A0" w:rsidRPr="008048D3" w:rsidRDefault="007248A0" w:rsidP="007248A0">
                  <w:pPr>
                    <w:jc w:val="right"/>
                    <w:rPr>
                      <w:rFonts w:ascii="Verdana" w:hAnsi="Verdana"/>
                      <w:color w:val="000000"/>
                      <w:sz w:val="16"/>
                      <w:szCs w:val="16"/>
                      <w:lang w:val="lt-LT" w:eastAsia="lt-LT"/>
                    </w:rPr>
                  </w:pPr>
                  <w:r w:rsidRPr="008048D3">
                    <w:rPr>
                      <w:rFonts w:ascii="Verdana" w:hAnsi="Verdana"/>
                      <w:color w:val="000000"/>
                      <w:sz w:val="16"/>
                      <w:szCs w:val="16"/>
                      <w:lang w:val="lt-LT" w:eastAsia="lt-LT"/>
                    </w:rPr>
                    <w:t>(2 399)</w:t>
                  </w:r>
                </w:p>
              </w:tc>
              <w:tc>
                <w:tcPr>
                  <w:tcW w:w="741" w:type="pct"/>
                </w:tcPr>
                <w:p w14:paraId="722E08E4" w14:textId="2BE1811B" w:rsidR="007248A0" w:rsidRPr="008048D3" w:rsidRDefault="007248A0" w:rsidP="007248A0">
                  <w:pPr>
                    <w:jc w:val="right"/>
                    <w:rPr>
                      <w:rFonts w:ascii="Verdana" w:hAnsi="Verdana"/>
                      <w:color w:val="000000"/>
                      <w:sz w:val="16"/>
                      <w:szCs w:val="16"/>
                      <w:lang w:val="lt-LT" w:eastAsia="lt-LT"/>
                    </w:rPr>
                  </w:pPr>
                  <w:r w:rsidRPr="008048D3">
                    <w:rPr>
                      <w:rFonts w:ascii="Verdana" w:hAnsi="Verdana"/>
                      <w:color w:val="000000"/>
                      <w:sz w:val="16"/>
                      <w:szCs w:val="16"/>
                      <w:lang w:val="lt-LT" w:eastAsia="lt-LT"/>
                    </w:rPr>
                    <w:t>(2 455)</w:t>
                  </w:r>
                </w:p>
              </w:tc>
              <w:tc>
                <w:tcPr>
                  <w:tcW w:w="740" w:type="pct"/>
                </w:tcPr>
                <w:p w14:paraId="6B17F91A" w14:textId="20EB737B" w:rsidR="007248A0" w:rsidRPr="008048D3" w:rsidRDefault="007248A0" w:rsidP="007248A0">
                  <w:pPr>
                    <w:jc w:val="right"/>
                    <w:rPr>
                      <w:rFonts w:ascii="Verdana" w:hAnsi="Verdana"/>
                      <w:color w:val="000000"/>
                      <w:sz w:val="16"/>
                      <w:szCs w:val="16"/>
                      <w:lang w:val="lt-LT" w:eastAsia="lt-LT"/>
                    </w:rPr>
                  </w:pPr>
                  <w:r w:rsidRPr="008048D3">
                    <w:rPr>
                      <w:rFonts w:ascii="Verdana" w:hAnsi="Verdana"/>
                      <w:color w:val="000000"/>
                      <w:sz w:val="16"/>
                      <w:szCs w:val="16"/>
                      <w:lang w:val="lt-LT" w:eastAsia="lt-LT"/>
                    </w:rPr>
                    <w:t>(6 552)</w:t>
                  </w:r>
                </w:p>
              </w:tc>
              <w:tc>
                <w:tcPr>
                  <w:tcW w:w="739" w:type="pct"/>
                </w:tcPr>
                <w:p w14:paraId="11BC5867" w14:textId="0F748D16" w:rsidR="007248A0" w:rsidRPr="008048D3" w:rsidRDefault="007248A0" w:rsidP="007248A0">
                  <w:pPr>
                    <w:jc w:val="right"/>
                    <w:rPr>
                      <w:rFonts w:ascii="Verdana" w:hAnsi="Verdana"/>
                      <w:color w:val="000000"/>
                      <w:sz w:val="16"/>
                      <w:szCs w:val="16"/>
                      <w:lang w:val="lt-LT" w:eastAsia="lt-LT"/>
                    </w:rPr>
                  </w:pPr>
                  <w:r w:rsidRPr="008048D3">
                    <w:rPr>
                      <w:rFonts w:ascii="Verdana" w:hAnsi="Verdana"/>
                      <w:color w:val="000000"/>
                      <w:sz w:val="16"/>
                      <w:szCs w:val="16"/>
                      <w:lang w:val="lt-LT" w:eastAsia="lt-LT"/>
                    </w:rPr>
                    <w:t>1 430</w:t>
                  </w:r>
                </w:p>
              </w:tc>
              <w:tc>
                <w:tcPr>
                  <w:tcW w:w="747" w:type="pct"/>
                </w:tcPr>
                <w:p w14:paraId="019827EF" w14:textId="3124E81D" w:rsidR="007248A0" w:rsidRPr="008048D3" w:rsidRDefault="007248A0" w:rsidP="007248A0">
                  <w:pPr>
                    <w:jc w:val="right"/>
                    <w:rPr>
                      <w:rFonts w:ascii="Verdana" w:hAnsi="Verdana" w:cs="Calibri"/>
                      <w:color w:val="000000"/>
                      <w:sz w:val="16"/>
                      <w:szCs w:val="16"/>
                      <w:lang w:val="lt-LT"/>
                    </w:rPr>
                  </w:pPr>
                  <w:r w:rsidRPr="008048D3">
                    <w:rPr>
                      <w:rFonts w:ascii="Verdana" w:hAnsi="Verdana"/>
                      <w:color w:val="000000"/>
                      <w:sz w:val="16"/>
                      <w:szCs w:val="16"/>
                      <w:lang w:val="lt-LT" w:eastAsia="lt-LT"/>
                    </w:rPr>
                    <w:t>(1 544)</w:t>
                  </w:r>
                </w:p>
              </w:tc>
            </w:tr>
            <w:tr w:rsidR="007248A0" w:rsidRPr="00CD3453" w14:paraId="2E441407" w14:textId="77777777" w:rsidTr="00CA53A5">
              <w:trPr>
                <w:trHeight w:val="493"/>
              </w:trPr>
              <w:tc>
                <w:tcPr>
                  <w:tcW w:w="1293" w:type="pct"/>
                  <w:vAlign w:val="bottom"/>
                </w:tcPr>
                <w:p w14:paraId="5FD3B4A6" w14:textId="2C20C814" w:rsidR="007248A0" w:rsidRPr="008048D3" w:rsidRDefault="007248A0" w:rsidP="007248A0">
                  <w:pPr>
                    <w:keepNext/>
                    <w:rPr>
                      <w:rFonts w:ascii="Verdana" w:hAnsi="Verdana" w:cs="Calibri"/>
                      <w:b/>
                      <w:bCs/>
                      <w:color w:val="000000"/>
                      <w:sz w:val="16"/>
                      <w:szCs w:val="16"/>
                      <w:lang w:val="lt-LT"/>
                    </w:rPr>
                  </w:pPr>
                  <w:r w:rsidRPr="008048D3">
                    <w:rPr>
                      <w:rFonts w:ascii="Verdana" w:hAnsi="Verdana" w:cs="Calibri"/>
                      <w:sz w:val="16"/>
                      <w:szCs w:val="16"/>
                      <w:lang w:val="lt-LT"/>
                    </w:rPr>
                    <w:t>Finansinės veiklos pinigų srautai</w:t>
                  </w:r>
                </w:p>
              </w:tc>
              <w:tc>
                <w:tcPr>
                  <w:tcW w:w="740" w:type="pct"/>
                </w:tcPr>
                <w:p w14:paraId="57C638D1" w14:textId="674E317B" w:rsidR="007248A0" w:rsidRPr="008048D3" w:rsidRDefault="007248A0" w:rsidP="007248A0">
                  <w:pPr>
                    <w:jc w:val="right"/>
                    <w:rPr>
                      <w:rFonts w:ascii="Verdana" w:hAnsi="Verdana"/>
                      <w:color w:val="000000"/>
                      <w:sz w:val="16"/>
                      <w:szCs w:val="16"/>
                      <w:lang w:val="lt-LT" w:eastAsia="lt-LT"/>
                    </w:rPr>
                  </w:pPr>
                  <w:r w:rsidRPr="008048D3">
                    <w:rPr>
                      <w:rFonts w:ascii="Verdana" w:hAnsi="Verdana"/>
                      <w:color w:val="000000"/>
                      <w:sz w:val="16"/>
                      <w:szCs w:val="16"/>
                      <w:lang w:val="lt-LT" w:eastAsia="lt-LT"/>
                    </w:rPr>
                    <w:t>5 981</w:t>
                  </w:r>
                </w:p>
              </w:tc>
              <w:tc>
                <w:tcPr>
                  <w:tcW w:w="741" w:type="pct"/>
                </w:tcPr>
                <w:p w14:paraId="6A7E9512" w14:textId="77777777" w:rsidR="007248A0" w:rsidRPr="008048D3" w:rsidRDefault="007248A0" w:rsidP="007248A0">
                  <w:pPr>
                    <w:jc w:val="right"/>
                    <w:rPr>
                      <w:rFonts w:ascii="Verdana" w:hAnsi="Verdana"/>
                      <w:color w:val="000000"/>
                      <w:sz w:val="16"/>
                      <w:szCs w:val="16"/>
                      <w:lang w:val="lt-LT" w:eastAsia="lt-LT"/>
                    </w:rPr>
                  </w:pPr>
                  <w:r w:rsidRPr="008048D3">
                    <w:rPr>
                      <w:rFonts w:ascii="Verdana" w:hAnsi="Verdana"/>
                      <w:color w:val="000000"/>
                      <w:sz w:val="16"/>
                      <w:szCs w:val="16"/>
                      <w:lang w:val="lt-LT" w:eastAsia="lt-LT"/>
                    </w:rPr>
                    <w:t>53</w:t>
                  </w:r>
                </w:p>
              </w:tc>
              <w:tc>
                <w:tcPr>
                  <w:tcW w:w="740" w:type="pct"/>
                </w:tcPr>
                <w:p w14:paraId="1529CA01" w14:textId="03855BE7" w:rsidR="007248A0" w:rsidRPr="008048D3" w:rsidRDefault="007248A0" w:rsidP="007248A0">
                  <w:pPr>
                    <w:jc w:val="right"/>
                    <w:rPr>
                      <w:rFonts w:ascii="Verdana" w:hAnsi="Verdana"/>
                      <w:color w:val="000000"/>
                      <w:sz w:val="16"/>
                      <w:lang w:val="lt-LT"/>
                    </w:rPr>
                  </w:pPr>
                  <w:r w:rsidRPr="008048D3">
                    <w:rPr>
                      <w:rFonts w:ascii="Verdana" w:hAnsi="Verdana"/>
                      <w:color w:val="000000"/>
                      <w:sz w:val="16"/>
                      <w:szCs w:val="16"/>
                      <w:lang w:val="lt-LT" w:eastAsia="lt-LT"/>
                    </w:rPr>
                    <w:t>1 158</w:t>
                  </w:r>
                </w:p>
              </w:tc>
              <w:tc>
                <w:tcPr>
                  <w:tcW w:w="739" w:type="pct"/>
                </w:tcPr>
                <w:p w14:paraId="7F374281" w14:textId="1D9A9B59" w:rsidR="007248A0" w:rsidRPr="008048D3" w:rsidRDefault="007248A0" w:rsidP="007248A0">
                  <w:pPr>
                    <w:jc w:val="right"/>
                    <w:rPr>
                      <w:rFonts w:ascii="Verdana" w:hAnsi="Verdana"/>
                      <w:color w:val="000000"/>
                      <w:sz w:val="16"/>
                      <w:lang w:val="lt-LT"/>
                    </w:rPr>
                  </w:pPr>
                  <w:r w:rsidRPr="008048D3">
                    <w:rPr>
                      <w:rFonts w:ascii="Verdana" w:hAnsi="Verdana"/>
                      <w:color w:val="000000"/>
                      <w:sz w:val="16"/>
                      <w:szCs w:val="16"/>
                      <w:lang w:val="lt-LT" w:eastAsia="lt-LT"/>
                    </w:rPr>
                    <w:t>(4 654)</w:t>
                  </w:r>
                </w:p>
              </w:tc>
              <w:tc>
                <w:tcPr>
                  <w:tcW w:w="747" w:type="pct"/>
                </w:tcPr>
                <w:p w14:paraId="05FF4D45" w14:textId="5D531A9F" w:rsidR="007248A0" w:rsidRPr="008048D3" w:rsidRDefault="007248A0" w:rsidP="007248A0">
                  <w:pPr>
                    <w:jc w:val="right"/>
                    <w:rPr>
                      <w:rFonts w:ascii="Verdana" w:hAnsi="Verdana" w:cs="Calibri"/>
                      <w:b/>
                      <w:bCs/>
                      <w:color w:val="000000"/>
                      <w:sz w:val="16"/>
                      <w:szCs w:val="16"/>
                      <w:lang w:val="lt-LT"/>
                    </w:rPr>
                  </w:pPr>
                  <w:r w:rsidRPr="008048D3">
                    <w:rPr>
                      <w:rFonts w:ascii="Verdana" w:hAnsi="Verdana"/>
                      <w:color w:val="000000"/>
                      <w:sz w:val="16"/>
                      <w:szCs w:val="16"/>
                      <w:lang w:val="lt-LT" w:eastAsia="lt-LT"/>
                    </w:rPr>
                    <w:t>(3 501)</w:t>
                  </w:r>
                </w:p>
              </w:tc>
            </w:tr>
          </w:tbl>
          <w:p w14:paraId="04C120B8" w14:textId="6840CF69" w:rsidR="007248A0" w:rsidRPr="008048D3" w:rsidRDefault="007248A0" w:rsidP="007248A0">
            <w:pPr>
              <w:autoSpaceDE w:val="0"/>
              <w:autoSpaceDN w:val="0"/>
              <w:adjustRightInd w:val="0"/>
              <w:rPr>
                <w:rFonts w:ascii="Verdana" w:hAnsi="Verdana"/>
                <w:i/>
                <w:sz w:val="16"/>
                <w:szCs w:val="16"/>
                <w:lang w:val="lt-LT"/>
              </w:rPr>
            </w:pPr>
            <w:r w:rsidRPr="008048D3">
              <w:rPr>
                <w:rFonts w:ascii="Verdana" w:hAnsi="Verdana"/>
                <w:i/>
                <w:sz w:val="16"/>
                <w:szCs w:val="16"/>
                <w:lang w:val="lt-LT"/>
              </w:rPr>
              <w:t xml:space="preserve">Šaltiniai: Konsoliduotos finansinės ataskaitos, Konsoliduota tarpinė informacija </w:t>
            </w:r>
          </w:p>
          <w:p w14:paraId="0010F3F6" w14:textId="77777777" w:rsidR="007248A0" w:rsidRPr="008048D3" w:rsidRDefault="007248A0" w:rsidP="007248A0">
            <w:pPr>
              <w:autoSpaceDE w:val="0"/>
              <w:autoSpaceDN w:val="0"/>
              <w:adjustRightInd w:val="0"/>
              <w:jc w:val="both"/>
              <w:rPr>
                <w:rFonts w:ascii="Verdana" w:hAnsi="Verdana"/>
                <w:sz w:val="16"/>
                <w:szCs w:val="16"/>
                <w:lang w:val="lt-LT"/>
              </w:rPr>
            </w:pPr>
          </w:p>
          <w:p w14:paraId="63AFE186" w14:textId="0273F267" w:rsidR="005B68BE" w:rsidRPr="008048D3" w:rsidRDefault="006A7C7E" w:rsidP="006A7C7E">
            <w:pPr>
              <w:autoSpaceDE w:val="0"/>
              <w:autoSpaceDN w:val="0"/>
              <w:adjustRightInd w:val="0"/>
              <w:jc w:val="both"/>
              <w:rPr>
                <w:rFonts w:ascii="Verdana" w:hAnsi="Verdana"/>
                <w:sz w:val="16"/>
                <w:szCs w:val="16"/>
                <w:lang w:val="lt-LT"/>
              </w:rPr>
            </w:pPr>
            <w:r w:rsidRPr="008048D3">
              <w:rPr>
                <w:rFonts w:ascii="Verdana" w:hAnsi="Verdana"/>
                <w:sz w:val="16"/>
                <w:szCs w:val="16"/>
                <w:lang w:val="lt-LT"/>
              </w:rPr>
              <w:t xml:space="preserve">Šiame Prospekte pateikiamos tam tikros finansinės priemonės, kurios nėra apibrėžtos arba pripažįstamos pagal TFAS </w:t>
            </w:r>
            <w:r w:rsidR="00CA53A5" w:rsidRPr="008048D3">
              <w:rPr>
                <w:rFonts w:ascii="Verdana" w:hAnsi="Verdana"/>
                <w:sz w:val="16"/>
                <w:szCs w:val="16"/>
                <w:lang w:val="lt-LT"/>
              </w:rPr>
              <w:t xml:space="preserve">(toliau – </w:t>
            </w:r>
            <w:r w:rsidR="00CA53A5" w:rsidRPr="008048D3">
              <w:rPr>
                <w:rFonts w:ascii="Verdana" w:hAnsi="Verdana"/>
                <w:b/>
                <w:sz w:val="16"/>
                <w:szCs w:val="16"/>
                <w:lang w:val="lt-LT"/>
              </w:rPr>
              <w:t>TFAS</w:t>
            </w:r>
            <w:r w:rsidR="00CA53A5" w:rsidRPr="008048D3">
              <w:rPr>
                <w:rFonts w:ascii="Verdana" w:hAnsi="Verdana"/>
                <w:sz w:val="16"/>
                <w:szCs w:val="16"/>
                <w:lang w:val="lt-LT"/>
              </w:rPr>
              <w:t xml:space="preserve">) </w:t>
            </w:r>
            <w:r w:rsidRPr="008048D3">
              <w:rPr>
                <w:rFonts w:ascii="Verdana" w:hAnsi="Verdana"/>
                <w:sz w:val="16"/>
                <w:szCs w:val="16"/>
                <w:lang w:val="lt-LT"/>
              </w:rPr>
              <w:t xml:space="preserve">ir kurios laikomos „alternatyviomis veiklos rezultatų vertinimo priemonėmis“, kaip jos apibrėžtos 2015 m. spalio 5 d.  Europos vertybinių popierių ir rinkų institucijos (ESMA) išleistose </w:t>
            </w:r>
            <w:r w:rsidR="003E7F07" w:rsidRPr="008048D3">
              <w:rPr>
                <w:rFonts w:ascii="Verdana" w:hAnsi="Verdana"/>
                <w:sz w:val="16"/>
                <w:szCs w:val="16"/>
                <w:lang w:val="lt-LT"/>
              </w:rPr>
              <w:t>„</w:t>
            </w:r>
            <w:r w:rsidRPr="008048D3">
              <w:rPr>
                <w:rFonts w:ascii="Verdana" w:hAnsi="Verdana"/>
                <w:sz w:val="16"/>
                <w:szCs w:val="16"/>
                <w:lang w:val="lt-LT"/>
              </w:rPr>
              <w:t xml:space="preserve">ESMA </w:t>
            </w:r>
            <w:r w:rsidR="003E7F07" w:rsidRPr="008048D3">
              <w:rPr>
                <w:rFonts w:ascii="Verdana" w:hAnsi="Verdana"/>
                <w:sz w:val="16"/>
                <w:szCs w:val="16"/>
                <w:lang w:val="lt-LT"/>
              </w:rPr>
              <w:t>gairėse dėl alternatyvių veiklos rezultatų vertinimo priemonių“</w:t>
            </w:r>
            <w:r w:rsidRPr="008048D3">
              <w:rPr>
                <w:rFonts w:ascii="Verdana" w:hAnsi="Verdana"/>
                <w:sz w:val="16"/>
                <w:szCs w:val="16"/>
                <w:lang w:val="lt-LT"/>
              </w:rPr>
              <w:t xml:space="preserve"> (t</w:t>
            </w:r>
            <w:r w:rsidR="003E7F07" w:rsidRPr="008048D3">
              <w:rPr>
                <w:rFonts w:ascii="Verdana" w:hAnsi="Verdana"/>
                <w:sz w:val="16"/>
                <w:szCs w:val="16"/>
                <w:lang w:val="lt-LT"/>
              </w:rPr>
              <w:t>oliau – „</w:t>
            </w:r>
            <w:r w:rsidR="003E7F07" w:rsidRPr="00CD3453">
              <w:rPr>
                <w:rFonts w:ascii="Verdana" w:hAnsi="Verdana"/>
                <w:b/>
                <w:sz w:val="16"/>
                <w:szCs w:val="16"/>
                <w:lang w:val="lt-LT"/>
              </w:rPr>
              <w:t>Alternatyvios veiklos rezultatų vertinimo priemonės</w:t>
            </w:r>
            <w:r w:rsidR="003E7F07" w:rsidRPr="008048D3">
              <w:rPr>
                <w:rFonts w:ascii="Verdana" w:hAnsi="Verdana"/>
                <w:sz w:val="16"/>
                <w:szCs w:val="16"/>
                <w:lang w:val="lt-LT"/>
              </w:rPr>
              <w:t>“</w:t>
            </w:r>
            <w:r w:rsidR="00CA53A5" w:rsidRPr="008048D3">
              <w:rPr>
                <w:rFonts w:ascii="Verdana" w:hAnsi="Verdana"/>
                <w:sz w:val="16"/>
                <w:szCs w:val="16"/>
                <w:lang w:val="lt-LT"/>
              </w:rPr>
              <w:t xml:space="preserve"> (</w:t>
            </w:r>
            <w:r w:rsidR="00CA53A5" w:rsidRPr="008048D3">
              <w:rPr>
                <w:rFonts w:ascii="Verdana" w:hAnsi="Verdana"/>
                <w:b/>
                <w:sz w:val="16"/>
                <w:szCs w:val="16"/>
                <w:lang w:val="lt-LT"/>
              </w:rPr>
              <w:t>AVRVP</w:t>
            </w:r>
            <w:r w:rsidR="00CA53A5" w:rsidRPr="008048D3">
              <w:rPr>
                <w:rFonts w:ascii="Verdana" w:hAnsi="Verdana"/>
                <w:sz w:val="16"/>
                <w:szCs w:val="16"/>
                <w:lang w:val="lt-LT"/>
              </w:rPr>
              <w:t>)</w:t>
            </w:r>
            <w:r w:rsidRPr="008048D3">
              <w:rPr>
                <w:rFonts w:ascii="Verdana" w:hAnsi="Verdana"/>
                <w:sz w:val="16"/>
                <w:szCs w:val="16"/>
                <w:lang w:val="lt-LT"/>
              </w:rPr>
              <w:t xml:space="preserve">). </w:t>
            </w:r>
            <w:r w:rsidR="003E7F07" w:rsidRPr="008048D3">
              <w:rPr>
                <w:rFonts w:ascii="Verdana" w:hAnsi="Verdana"/>
                <w:sz w:val="16"/>
                <w:szCs w:val="16"/>
                <w:lang w:val="lt-LT"/>
              </w:rPr>
              <w:t>Šiame Prospekte pateikiamos šios Alternatyvios veiklos rezultatų vertinimo priemonės, kurios apibrėžtos toliau</w:t>
            </w:r>
            <w:r w:rsidRPr="008048D3">
              <w:rPr>
                <w:rFonts w:ascii="Verdana" w:hAnsi="Verdana"/>
                <w:sz w:val="16"/>
                <w:szCs w:val="16"/>
                <w:lang w:val="lt-LT"/>
              </w:rPr>
              <w:t>.</w:t>
            </w:r>
            <w:r w:rsidR="00796D74" w:rsidRPr="008048D3">
              <w:rPr>
                <w:rFonts w:ascii="Verdana" w:hAnsi="Verdana"/>
                <w:sz w:val="16"/>
                <w:szCs w:val="16"/>
                <w:lang w:val="lt-LT"/>
              </w:rPr>
              <w:t xml:space="preserve"> </w:t>
            </w:r>
          </w:p>
          <w:p w14:paraId="3CAE515A" w14:textId="77777777" w:rsidR="00CA53A5" w:rsidRPr="008048D3" w:rsidRDefault="00CA53A5" w:rsidP="00CA53A5">
            <w:pPr>
              <w:autoSpaceDE w:val="0"/>
              <w:autoSpaceDN w:val="0"/>
              <w:adjustRightInd w:val="0"/>
              <w:jc w:val="both"/>
              <w:rPr>
                <w:rFonts w:ascii="Verdana" w:hAnsi="Verdana"/>
                <w:sz w:val="16"/>
                <w:szCs w:val="16"/>
                <w:lang w:val="lt-LT"/>
              </w:rPr>
            </w:pPr>
          </w:p>
          <w:tbl>
            <w:tblPr>
              <w:tblW w:w="7281" w:type="dxa"/>
              <w:tblInd w:w="5" w:type="dxa"/>
              <w:tblLayout w:type="fixed"/>
              <w:tblLook w:val="04A0" w:firstRow="1" w:lastRow="0" w:firstColumn="1" w:lastColumn="0" w:noHBand="0" w:noVBand="1"/>
            </w:tblPr>
            <w:tblGrid>
              <w:gridCol w:w="2023"/>
              <w:gridCol w:w="1052"/>
              <w:gridCol w:w="1052"/>
              <w:gridCol w:w="1052"/>
              <w:gridCol w:w="1051"/>
              <w:gridCol w:w="1051"/>
            </w:tblGrid>
            <w:tr w:rsidR="005445A7" w:rsidRPr="008048D3" w14:paraId="7649DDC7" w14:textId="77777777" w:rsidTr="00CA53A5">
              <w:trPr>
                <w:trHeight w:val="424"/>
              </w:trPr>
              <w:tc>
                <w:tcPr>
                  <w:tcW w:w="2023" w:type="dxa"/>
                  <w:tcBorders>
                    <w:top w:val="single" w:sz="12" w:space="0" w:color="auto"/>
                    <w:bottom w:val="double" w:sz="4" w:space="0" w:color="000000"/>
                  </w:tcBorders>
                  <w:shd w:val="clear" w:color="auto" w:fill="D9D9D9" w:themeFill="background1" w:themeFillShade="D9"/>
                  <w:noWrap/>
                  <w:vAlign w:val="center"/>
                  <w:hideMark/>
                </w:tcPr>
                <w:p w14:paraId="0673BA66" w14:textId="692A601A" w:rsidR="005445A7" w:rsidRPr="008048D3" w:rsidRDefault="005445A7" w:rsidP="005445A7">
                  <w:pPr>
                    <w:rPr>
                      <w:rFonts w:ascii="Verdana" w:hAnsi="Verdana" w:cs="Calibri"/>
                      <w:i/>
                      <w:iCs/>
                      <w:color w:val="000000"/>
                      <w:sz w:val="16"/>
                      <w:szCs w:val="16"/>
                      <w:lang w:val="lt-LT" w:eastAsia="et-EE"/>
                    </w:rPr>
                  </w:pPr>
                </w:p>
              </w:tc>
              <w:tc>
                <w:tcPr>
                  <w:tcW w:w="1052" w:type="dxa"/>
                  <w:tcBorders>
                    <w:top w:val="single" w:sz="12" w:space="0" w:color="auto"/>
                    <w:bottom w:val="double" w:sz="4" w:space="0" w:color="000000"/>
                  </w:tcBorders>
                  <w:shd w:val="clear" w:color="auto" w:fill="D9D9D9" w:themeFill="background1" w:themeFillShade="D9"/>
                  <w:vAlign w:val="center"/>
                </w:tcPr>
                <w:p w14:paraId="20C28039" w14:textId="05AC39A2" w:rsidR="005445A7" w:rsidRPr="008048D3" w:rsidRDefault="005445A7" w:rsidP="005445A7">
                  <w:pPr>
                    <w:ind w:left="-57" w:right="-57"/>
                    <w:jc w:val="right"/>
                    <w:rPr>
                      <w:rFonts w:ascii="Verdana" w:hAnsi="Verdana" w:cs="Calibri"/>
                      <w:i/>
                      <w:iCs/>
                      <w:color w:val="000000"/>
                      <w:sz w:val="16"/>
                      <w:szCs w:val="16"/>
                      <w:lang w:val="lt-LT" w:eastAsia="et-EE"/>
                    </w:rPr>
                  </w:pPr>
                  <w:r w:rsidRPr="008048D3">
                    <w:rPr>
                      <w:rFonts w:ascii="Verdana" w:hAnsi="Verdana" w:cs="Calibri"/>
                      <w:i/>
                      <w:iCs/>
                      <w:sz w:val="16"/>
                      <w:szCs w:val="16"/>
                      <w:lang w:val="lt-LT"/>
                    </w:rPr>
                    <w:t>2018 m. kovo 31 d. pasibaigęs 12 mėn. laikotarpis</w:t>
                  </w:r>
                </w:p>
              </w:tc>
              <w:tc>
                <w:tcPr>
                  <w:tcW w:w="1052" w:type="dxa"/>
                  <w:tcBorders>
                    <w:top w:val="single" w:sz="12" w:space="0" w:color="auto"/>
                    <w:bottom w:val="double" w:sz="4" w:space="0" w:color="000000"/>
                  </w:tcBorders>
                  <w:shd w:val="clear" w:color="auto" w:fill="D9D9D9" w:themeFill="background1" w:themeFillShade="D9"/>
                  <w:vAlign w:val="center"/>
                </w:tcPr>
                <w:p w14:paraId="60BDC1C7" w14:textId="0172491A" w:rsidR="005445A7" w:rsidRPr="008048D3" w:rsidRDefault="005445A7" w:rsidP="005445A7">
                  <w:pPr>
                    <w:ind w:left="-57" w:right="-57"/>
                    <w:jc w:val="right"/>
                    <w:rPr>
                      <w:rFonts w:ascii="Verdana" w:hAnsi="Verdana" w:cs="Calibri"/>
                      <w:i/>
                      <w:iCs/>
                      <w:color w:val="000000"/>
                      <w:sz w:val="16"/>
                      <w:szCs w:val="16"/>
                      <w:lang w:val="lt-LT" w:eastAsia="et-EE"/>
                    </w:rPr>
                  </w:pPr>
                  <w:r w:rsidRPr="008048D3">
                    <w:rPr>
                      <w:rFonts w:ascii="Verdana" w:hAnsi="Verdana" w:cs="Calibri"/>
                      <w:i/>
                      <w:iCs/>
                      <w:sz w:val="16"/>
                      <w:szCs w:val="16"/>
                      <w:lang w:val="lt-LT"/>
                    </w:rPr>
                    <w:t>2017 m. kovo 31 d. pasibaigęs 12 mėn. laikotarpis</w:t>
                  </w:r>
                </w:p>
              </w:tc>
              <w:tc>
                <w:tcPr>
                  <w:tcW w:w="1052" w:type="dxa"/>
                  <w:tcBorders>
                    <w:top w:val="single" w:sz="12" w:space="0" w:color="auto"/>
                    <w:bottom w:val="double" w:sz="4" w:space="0" w:color="000000"/>
                  </w:tcBorders>
                  <w:shd w:val="clear" w:color="auto" w:fill="D9D9D9" w:themeFill="background1" w:themeFillShade="D9"/>
                  <w:hideMark/>
                </w:tcPr>
                <w:p w14:paraId="6ABFDC89" w14:textId="7BC6A550" w:rsidR="005445A7" w:rsidRPr="008048D3" w:rsidRDefault="005445A7" w:rsidP="005445A7">
                  <w:pPr>
                    <w:jc w:val="right"/>
                    <w:rPr>
                      <w:rFonts w:ascii="Verdana" w:hAnsi="Verdana" w:cs="Calibri"/>
                      <w:i/>
                      <w:iCs/>
                      <w:color w:val="000000"/>
                      <w:sz w:val="16"/>
                      <w:szCs w:val="16"/>
                      <w:lang w:val="lt-LT" w:eastAsia="et-EE"/>
                    </w:rPr>
                  </w:pPr>
                  <w:r w:rsidRPr="008048D3">
                    <w:rPr>
                      <w:rFonts w:ascii="Verdana" w:hAnsi="Verdana" w:cs="Calibri"/>
                      <w:i/>
                      <w:iCs/>
                      <w:sz w:val="16"/>
                      <w:szCs w:val="16"/>
                      <w:lang w:val="lt-LT"/>
                    </w:rPr>
                    <w:t>2017 m. gruodžio 31 d. pasibaigę metai</w:t>
                  </w:r>
                </w:p>
              </w:tc>
              <w:tc>
                <w:tcPr>
                  <w:tcW w:w="1051" w:type="dxa"/>
                  <w:tcBorders>
                    <w:top w:val="single" w:sz="12" w:space="0" w:color="auto"/>
                    <w:bottom w:val="double" w:sz="4" w:space="0" w:color="000000"/>
                  </w:tcBorders>
                  <w:shd w:val="clear" w:color="auto" w:fill="D9D9D9" w:themeFill="background1" w:themeFillShade="D9"/>
                  <w:hideMark/>
                </w:tcPr>
                <w:p w14:paraId="5D7C6D87" w14:textId="1A5C1A35" w:rsidR="005445A7" w:rsidRPr="008048D3" w:rsidRDefault="005445A7" w:rsidP="005445A7">
                  <w:pPr>
                    <w:jc w:val="right"/>
                    <w:rPr>
                      <w:rFonts w:ascii="Verdana" w:hAnsi="Verdana" w:cs="Calibri"/>
                      <w:i/>
                      <w:iCs/>
                      <w:color w:val="000000"/>
                      <w:sz w:val="16"/>
                      <w:szCs w:val="16"/>
                      <w:lang w:val="lt-LT" w:eastAsia="et-EE"/>
                    </w:rPr>
                  </w:pPr>
                  <w:r w:rsidRPr="008048D3">
                    <w:rPr>
                      <w:rFonts w:ascii="Verdana" w:hAnsi="Verdana" w:cs="Calibri"/>
                      <w:i/>
                      <w:iCs/>
                      <w:sz w:val="16"/>
                      <w:szCs w:val="16"/>
                      <w:lang w:val="lt-LT"/>
                    </w:rPr>
                    <w:t>2016 m. gruodžio 31 d. pasibaigę metai</w:t>
                  </w:r>
                </w:p>
              </w:tc>
              <w:tc>
                <w:tcPr>
                  <w:tcW w:w="1051" w:type="dxa"/>
                  <w:tcBorders>
                    <w:top w:val="single" w:sz="12" w:space="0" w:color="auto"/>
                    <w:bottom w:val="double" w:sz="4" w:space="0" w:color="000000"/>
                  </w:tcBorders>
                  <w:shd w:val="clear" w:color="auto" w:fill="D9D9D9" w:themeFill="background1" w:themeFillShade="D9"/>
                  <w:hideMark/>
                </w:tcPr>
                <w:p w14:paraId="0982B441" w14:textId="1DCFC413" w:rsidR="005445A7" w:rsidRPr="008048D3" w:rsidRDefault="005445A7" w:rsidP="005445A7">
                  <w:pPr>
                    <w:jc w:val="right"/>
                    <w:rPr>
                      <w:rFonts w:ascii="Verdana" w:hAnsi="Verdana" w:cs="Calibri"/>
                      <w:i/>
                      <w:iCs/>
                      <w:color w:val="000000"/>
                      <w:sz w:val="16"/>
                      <w:szCs w:val="16"/>
                      <w:lang w:val="lt-LT" w:eastAsia="et-EE"/>
                    </w:rPr>
                  </w:pPr>
                  <w:r w:rsidRPr="008048D3">
                    <w:rPr>
                      <w:rFonts w:ascii="Verdana" w:hAnsi="Verdana" w:cs="Calibri"/>
                      <w:i/>
                      <w:iCs/>
                      <w:sz w:val="16"/>
                      <w:szCs w:val="16"/>
                      <w:lang w:val="lt-LT"/>
                    </w:rPr>
                    <w:t xml:space="preserve">2015 m. gruodžio 31 d. pasibaigę metai </w:t>
                  </w:r>
                </w:p>
              </w:tc>
            </w:tr>
            <w:tr w:rsidR="00CA53A5" w:rsidRPr="008048D3" w14:paraId="2527A230" w14:textId="77777777" w:rsidTr="00CA53A5">
              <w:trPr>
                <w:trHeight w:val="293"/>
              </w:trPr>
              <w:tc>
                <w:tcPr>
                  <w:tcW w:w="2023" w:type="dxa"/>
                  <w:tcBorders>
                    <w:top w:val="double" w:sz="4" w:space="0" w:color="000000"/>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CE1607" w14:textId="1CDD3D92" w:rsidR="00CA53A5" w:rsidRPr="008048D3" w:rsidRDefault="00CA53A5" w:rsidP="00CA53A5">
                  <w:pPr>
                    <w:jc w:val="both"/>
                    <w:rPr>
                      <w:rFonts w:ascii="Verdana" w:hAnsi="Verdana" w:cs="Calibri"/>
                      <w:color w:val="000000"/>
                      <w:sz w:val="16"/>
                      <w:szCs w:val="16"/>
                      <w:lang w:val="lt-LT" w:eastAsia="et-EE"/>
                    </w:rPr>
                  </w:pPr>
                  <w:r w:rsidRPr="008048D3">
                    <w:rPr>
                      <w:rFonts w:ascii="Verdana" w:hAnsi="Verdana" w:cs="Calibri"/>
                      <w:sz w:val="16"/>
                      <w:szCs w:val="16"/>
                      <w:lang w:val="lt-LT"/>
                    </w:rPr>
                    <w:t xml:space="preserve">EBITDA*, </w:t>
                  </w:r>
                  <w:r w:rsidR="005445A7" w:rsidRPr="008048D3">
                    <w:rPr>
                      <w:rFonts w:ascii="Verdana" w:hAnsi="Verdana"/>
                      <w:sz w:val="16"/>
                      <w:szCs w:val="16"/>
                      <w:lang w:val="lt-LT"/>
                    </w:rPr>
                    <w:t>tūkst. EUR</w:t>
                  </w:r>
                </w:p>
              </w:tc>
              <w:tc>
                <w:tcPr>
                  <w:tcW w:w="1052" w:type="dxa"/>
                  <w:tcBorders>
                    <w:top w:val="double" w:sz="4" w:space="0" w:color="000000"/>
                    <w:left w:val="single" w:sz="4" w:space="0" w:color="BFBFBF" w:themeColor="background1" w:themeShade="BF"/>
                    <w:bottom w:val="single" w:sz="4" w:space="0" w:color="BFBFBF" w:themeColor="background1" w:themeShade="BF"/>
                    <w:right w:val="single" w:sz="4" w:space="0" w:color="BFBFBF" w:themeColor="background1" w:themeShade="BF"/>
                  </w:tcBorders>
                </w:tcPr>
                <w:p w14:paraId="1F2FD267" w14:textId="324DB1E1"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13</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750</w:t>
                  </w:r>
                </w:p>
              </w:tc>
              <w:tc>
                <w:tcPr>
                  <w:tcW w:w="1052" w:type="dxa"/>
                  <w:tcBorders>
                    <w:top w:val="double" w:sz="4" w:space="0" w:color="000000"/>
                    <w:left w:val="single" w:sz="4" w:space="0" w:color="BFBFBF" w:themeColor="background1" w:themeShade="BF"/>
                    <w:bottom w:val="single" w:sz="4" w:space="0" w:color="BFBFBF" w:themeColor="background1" w:themeShade="BF"/>
                    <w:right w:val="single" w:sz="4" w:space="0" w:color="BFBFBF" w:themeColor="background1" w:themeShade="BF"/>
                  </w:tcBorders>
                </w:tcPr>
                <w:p w14:paraId="08A77451" w14:textId="4C40FC75"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10</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757</w:t>
                  </w:r>
                </w:p>
              </w:tc>
              <w:tc>
                <w:tcPr>
                  <w:tcW w:w="1052" w:type="dxa"/>
                  <w:tcBorders>
                    <w:top w:val="double" w:sz="4" w:space="0" w:color="000000"/>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25F210" w14:textId="55627066"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14</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193</w:t>
                  </w:r>
                </w:p>
              </w:tc>
              <w:tc>
                <w:tcPr>
                  <w:tcW w:w="1051" w:type="dxa"/>
                  <w:tcBorders>
                    <w:top w:val="double" w:sz="4" w:space="0" w:color="000000"/>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C410DA" w14:textId="684AEE6A"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11</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213</w:t>
                  </w:r>
                </w:p>
              </w:tc>
              <w:tc>
                <w:tcPr>
                  <w:tcW w:w="1051" w:type="dxa"/>
                  <w:tcBorders>
                    <w:top w:val="double" w:sz="4" w:space="0" w:color="000000"/>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C74826" w14:textId="00957FA5"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12</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702</w:t>
                  </w:r>
                </w:p>
              </w:tc>
            </w:tr>
            <w:tr w:rsidR="00CA53A5" w:rsidRPr="008048D3" w14:paraId="14DD71DC" w14:textId="77777777" w:rsidTr="00CA53A5">
              <w:trPr>
                <w:trHeight w:val="293"/>
              </w:trPr>
              <w:tc>
                <w:tcPr>
                  <w:tcW w:w="2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85D0BE" w14:textId="1D96C969" w:rsidR="00CA53A5" w:rsidRPr="008048D3" w:rsidRDefault="00CA53A5" w:rsidP="00CA53A5">
                  <w:pPr>
                    <w:jc w:val="both"/>
                    <w:rPr>
                      <w:rFonts w:ascii="Verdana" w:hAnsi="Verdana" w:cs="Calibri"/>
                      <w:color w:val="000000"/>
                      <w:sz w:val="16"/>
                      <w:szCs w:val="16"/>
                      <w:lang w:val="lt-LT" w:eastAsia="et-EE"/>
                    </w:rPr>
                  </w:pPr>
                  <w:r w:rsidRPr="008048D3">
                    <w:rPr>
                      <w:rFonts w:ascii="Verdana" w:hAnsi="Verdana" w:cs="Calibri"/>
                      <w:sz w:val="16"/>
                      <w:szCs w:val="16"/>
                      <w:lang w:val="lt-LT"/>
                    </w:rPr>
                    <w:t xml:space="preserve">EBITDA**, </w:t>
                  </w:r>
                  <w:r w:rsidR="005445A7" w:rsidRPr="008048D3">
                    <w:rPr>
                      <w:rFonts w:ascii="Verdana" w:hAnsi="Verdana"/>
                      <w:sz w:val="16"/>
                      <w:szCs w:val="16"/>
                      <w:lang w:val="lt-LT"/>
                    </w:rPr>
                    <w:t>tūkst. EUR</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A609E7" w14:textId="19803C23"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12</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724</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D6A694" w14:textId="0FE92F43"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9</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286</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C1566E" w14:textId="0B5F3B6B"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13</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178</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1D8B90" w14:textId="79370D78"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9</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623</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7FBF5E" w14:textId="0ED1F247"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10</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748</w:t>
                  </w:r>
                </w:p>
              </w:tc>
            </w:tr>
            <w:tr w:rsidR="00CA53A5" w:rsidRPr="008048D3" w14:paraId="2D741B39" w14:textId="77777777" w:rsidTr="00CA53A5">
              <w:trPr>
                <w:trHeight w:val="293"/>
              </w:trPr>
              <w:tc>
                <w:tcPr>
                  <w:tcW w:w="2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65D04E" w14:textId="44849F2B" w:rsidR="00CA53A5" w:rsidRPr="008048D3" w:rsidRDefault="00CA53A5" w:rsidP="00CA53A5">
                  <w:pPr>
                    <w:jc w:val="both"/>
                    <w:rPr>
                      <w:rFonts w:ascii="Verdana" w:hAnsi="Verdana" w:cs="Calibri"/>
                      <w:color w:val="000000"/>
                      <w:sz w:val="16"/>
                      <w:szCs w:val="16"/>
                      <w:lang w:val="lt-LT" w:eastAsia="et-EE"/>
                    </w:rPr>
                  </w:pPr>
                  <w:r w:rsidRPr="008048D3">
                    <w:rPr>
                      <w:rFonts w:ascii="Verdana" w:hAnsi="Verdana" w:cs="Calibri"/>
                      <w:sz w:val="16"/>
                      <w:szCs w:val="16"/>
                      <w:lang w:val="lt-LT"/>
                    </w:rPr>
                    <w:t xml:space="preserve">EBITDA* </w:t>
                  </w:r>
                  <w:r w:rsidR="005445A7" w:rsidRPr="008048D3">
                    <w:rPr>
                      <w:rFonts w:ascii="Verdana" w:hAnsi="Verdana" w:cs="Calibri"/>
                      <w:sz w:val="16"/>
                      <w:szCs w:val="16"/>
                      <w:lang w:val="lt-LT"/>
                    </w:rPr>
                    <w:t>marža</w:t>
                  </w:r>
                  <w:r w:rsidRPr="008048D3">
                    <w:rPr>
                      <w:rFonts w:ascii="Verdana" w:hAnsi="Verdana" w:cs="Calibri"/>
                      <w:sz w:val="16"/>
                      <w:szCs w:val="16"/>
                      <w:lang w:val="lt-LT"/>
                    </w:rPr>
                    <w:t>, %</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F4E978" w14:textId="1C4FCAF8"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28</w:t>
                  </w:r>
                  <w:r w:rsidR="005445A7" w:rsidRPr="008048D3">
                    <w:rPr>
                      <w:rFonts w:ascii="Verdana" w:hAnsi="Verdana" w:cs="Calibri"/>
                      <w:sz w:val="16"/>
                      <w:szCs w:val="16"/>
                      <w:lang w:val="lt-LT"/>
                    </w:rPr>
                    <w:t>,</w:t>
                  </w:r>
                  <w:r w:rsidRPr="008048D3">
                    <w:rPr>
                      <w:rFonts w:ascii="Verdana" w:hAnsi="Verdana" w:cs="Calibri"/>
                      <w:sz w:val="16"/>
                      <w:szCs w:val="16"/>
                      <w:lang w:val="lt-LT"/>
                    </w:rPr>
                    <w:t>55</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AD9615" w14:textId="402843EC"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25</w:t>
                  </w:r>
                  <w:r w:rsidR="005445A7" w:rsidRPr="008048D3">
                    <w:rPr>
                      <w:rFonts w:ascii="Verdana" w:hAnsi="Verdana" w:cs="Calibri"/>
                      <w:sz w:val="16"/>
                      <w:szCs w:val="16"/>
                      <w:lang w:val="lt-LT"/>
                    </w:rPr>
                    <w:t>,</w:t>
                  </w:r>
                  <w:r w:rsidRPr="008048D3">
                    <w:rPr>
                      <w:rFonts w:ascii="Verdana" w:hAnsi="Verdana" w:cs="Calibri"/>
                      <w:sz w:val="16"/>
                      <w:szCs w:val="16"/>
                      <w:lang w:val="lt-LT"/>
                    </w:rPr>
                    <w:t>12</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637646" w14:textId="37C52785"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29</w:t>
                  </w:r>
                  <w:r w:rsidR="005445A7" w:rsidRPr="008048D3">
                    <w:rPr>
                      <w:rFonts w:ascii="Verdana" w:hAnsi="Verdana" w:cs="Calibri"/>
                      <w:sz w:val="16"/>
                      <w:szCs w:val="16"/>
                      <w:lang w:val="lt-LT"/>
                    </w:rPr>
                    <w:t>,</w:t>
                  </w:r>
                  <w:r w:rsidRPr="008048D3">
                    <w:rPr>
                      <w:rFonts w:ascii="Verdana" w:hAnsi="Verdana" w:cs="Calibri"/>
                      <w:sz w:val="16"/>
                      <w:szCs w:val="16"/>
                      <w:lang w:val="lt-LT"/>
                    </w:rPr>
                    <w:t>09</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BD42AE" w14:textId="402EA626"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28</w:t>
                  </w:r>
                  <w:r w:rsidR="005445A7" w:rsidRPr="008048D3">
                    <w:rPr>
                      <w:rFonts w:ascii="Verdana" w:hAnsi="Verdana" w:cs="Calibri"/>
                      <w:sz w:val="16"/>
                      <w:szCs w:val="16"/>
                      <w:lang w:val="lt-LT"/>
                    </w:rPr>
                    <w:t>,</w:t>
                  </w:r>
                  <w:r w:rsidRPr="008048D3">
                    <w:rPr>
                      <w:rFonts w:ascii="Verdana" w:hAnsi="Verdana" w:cs="Calibri"/>
                      <w:sz w:val="16"/>
                      <w:szCs w:val="16"/>
                      <w:lang w:val="lt-LT"/>
                    </w:rPr>
                    <w:t>29</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7B3F2BD" w14:textId="609881C7"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26</w:t>
                  </w:r>
                  <w:r w:rsidR="005445A7" w:rsidRPr="008048D3">
                    <w:rPr>
                      <w:rFonts w:ascii="Verdana" w:hAnsi="Verdana" w:cs="Calibri"/>
                      <w:sz w:val="16"/>
                      <w:szCs w:val="16"/>
                      <w:lang w:val="lt-LT"/>
                    </w:rPr>
                    <w:t>,</w:t>
                  </w:r>
                  <w:r w:rsidRPr="008048D3">
                    <w:rPr>
                      <w:rFonts w:ascii="Verdana" w:hAnsi="Verdana" w:cs="Calibri"/>
                      <w:sz w:val="16"/>
                      <w:szCs w:val="16"/>
                      <w:lang w:val="lt-LT"/>
                    </w:rPr>
                    <w:t>78</w:t>
                  </w:r>
                </w:p>
              </w:tc>
            </w:tr>
            <w:tr w:rsidR="00CA53A5" w:rsidRPr="008048D3" w14:paraId="20431410" w14:textId="77777777" w:rsidTr="00CA53A5">
              <w:trPr>
                <w:trHeight w:val="293"/>
              </w:trPr>
              <w:tc>
                <w:tcPr>
                  <w:tcW w:w="2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451606" w14:textId="228D7026" w:rsidR="00CA53A5" w:rsidRPr="008048D3" w:rsidRDefault="00CA53A5" w:rsidP="00CA53A5">
                  <w:pPr>
                    <w:jc w:val="both"/>
                    <w:rPr>
                      <w:rFonts w:ascii="Verdana" w:hAnsi="Verdana" w:cs="Calibri"/>
                      <w:color w:val="000000"/>
                      <w:sz w:val="16"/>
                      <w:szCs w:val="16"/>
                      <w:lang w:val="lt-LT" w:eastAsia="et-EE"/>
                    </w:rPr>
                  </w:pPr>
                  <w:r w:rsidRPr="008048D3">
                    <w:rPr>
                      <w:rFonts w:ascii="Verdana" w:hAnsi="Verdana" w:cs="Calibri"/>
                      <w:sz w:val="16"/>
                      <w:szCs w:val="16"/>
                      <w:lang w:val="lt-LT"/>
                    </w:rPr>
                    <w:t xml:space="preserve">EBITDA** </w:t>
                  </w:r>
                  <w:r w:rsidR="005445A7" w:rsidRPr="008048D3">
                    <w:rPr>
                      <w:rFonts w:ascii="Verdana" w:hAnsi="Verdana" w:cs="Calibri"/>
                      <w:sz w:val="16"/>
                      <w:szCs w:val="16"/>
                      <w:lang w:val="lt-LT"/>
                    </w:rPr>
                    <w:t>marža</w:t>
                  </w:r>
                  <w:r w:rsidRPr="008048D3">
                    <w:rPr>
                      <w:rFonts w:ascii="Verdana" w:hAnsi="Verdana" w:cs="Calibri"/>
                      <w:sz w:val="16"/>
                      <w:szCs w:val="16"/>
                      <w:lang w:val="lt-LT"/>
                    </w:rPr>
                    <w:t>, %</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AC67D" w14:textId="7CD291FF"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26</w:t>
                  </w:r>
                  <w:r w:rsidR="005445A7" w:rsidRPr="008048D3">
                    <w:rPr>
                      <w:rFonts w:ascii="Verdana" w:hAnsi="Verdana" w:cs="Calibri"/>
                      <w:sz w:val="16"/>
                      <w:szCs w:val="16"/>
                      <w:lang w:val="lt-LT"/>
                    </w:rPr>
                    <w:t>,</w:t>
                  </w:r>
                  <w:r w:rsidRPr="008048D3">
                    <w:rPr>
                      <w:rFonts w:ascii="Verdana" w:hAnsi="Verdana" w:cs="Calibri"/>
                      <w:sz w:val="16"/>
                      <w:szCs w:val="16"/>
                      <w:lang w:val="lt-LT"/>
                    </w:rPr>
                    <w:t>42</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4D68E0" w14:textId="391044C0"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21</w:t>
                  </w:r>
                  <w:r w:rsidR="005445A7" w:rsidRPr="008048D3">
                    <w:rPr>
                      <w:rFonts w:ascii="Verdana" w:hAnsi="Verdana" w:cs="Calibri"/>
                      <w:sz w:val="16"/>
                      <w:szCs w:val="16"/>
                      <w:lang w:val="lt-LT"/>
                    </w:rPr>
                    <w:t>,</w:t>
                  </w:r>
                  <w:r w:rsidRPr="008048D3">
                    <w:rPr>
                      <w:rFonts w:ascii="Verdana" w:hAnsi="Verdana" w:cs="Calibri"/>
                      <w:sz w:val="16"/>
                      <w:szCs w:val="16"/>
                      <w:lang w:val="lt-LT"/>
                    </w:rPr>
                    <w:t>69</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BD2D72" w14:textId="3373B26A"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27</w:t>
                  </w:r>
                  <w:r w:rsidR="005445A7" w:rsidRPr="008048D3">
                    <w:rPr>
                      <w:rFonts w:ascii="Verdana" w:hAnsi="Verdana" w:cs="Calibri"/>
                      <w:sz w:val="16"/>
                      <w:szCs w:val="16"/>
                      <w:lang w:val="lt-LT"/>
                    </w:rPr>
                    <w:t>,</w:t>
                  </w:r>
                  <w:r w:rsidRPr="008048D3">
                    <w:rPr>
                      <w:rFonts w:ascii="Verdana" w:hAnsi="Verdana" w:cs="Calibri"/>
                      <w:sz w:val="16"/>
                      <w:szCs w:val="16"/>
                      <w:lang w:val="lt-LT"/>
                    </w:rPr>
                    <w:t>01</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85409C" w14:textId="572910B3"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24</w:t>
                  </w:r>
                  <w:r w:rsidR="005445A7" w:rsidRPr="008048D3">
                    <w:rPr>
                      <w:rFonts w:ascii="Verdana" w:hAnsi="Verdana" w:cs="Calibri"/>
                      <w:sz w:val="16"/>
                      <w:szCs w:val="16"/>
                      <w:lang w:val="lt-LT"/>
                    </w:rPr>
                    <w:t>,</w:t>
                  </w:r>
                  <w:r w:rsidRPr="008048D3">
                    <w:rPr>
                      <w:rFonts w:ascii="Verdana" w:hAnsi="Verdana" w:cs="Calibri"/>
                      <w:sz w:val="16"/>
                      <w:szCs w:val="16"/>
                      <w:lang w:val="lt-LT"/>
                    </w:rPr>
                    <w:t>28</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0C8479" w14:textId="0F8B7B87"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22</w:t>
                  </w:r>
                  <w:r w:rsidR="005445A7" w:rsidRPr="008048D3">
                    <w:rPr>
                      <w:rFonts w:ascii="Verdana" w:hAnsi="Verdana" w:cs="Calibri"/>
                      <w:sz w:val="16"/>
                      <w:szCs w:val="16"/>
                      <w:lang w:val="lt-LT"/>
                    </w:rPr>
                    <w:t>,</w:t>
                  </w:r>
                  <w:r w:rsidRPr="008048D3">
                    <w:rPr>
                      <w:rFonts w:ascii="Verdana" w:hAnsi="Verdana" w:cs="Calibri"/>
                      <w:sz w:val="16"/>
                      <w:szCs w:val="16"/>
                      <w:lang w:val="lt-LT"/>
                    </w:rPr>
                    <w:t>66</w:t>
                  </w:r>
                </w:p>
              </w:tc>
            </w:tr>
            <w:tr w:rsidR="00CA53A5" w:rsidRPr="008048D3" w14:paraId="23167BAA" w14:textId="77777777" w:rsidTr="00CA53A5">
              <w:trPr>
                <w:trHeight w:val="293"/>
              </w:trPr>
              <w:tc>
                <w:tcPr>
                  <w:tcW w:w="2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657830" w14:textId="5E3F084F" w:rsidR="00CA53A5" w:rsidRPr="008048D3" w:rsidRDefault="005445A7" w:rsidP="00CA53A5">
                  <w:pPr>
                    <w:jc w:val="both"/>
                    <w:rPr>
                      <w:rFonts w:ascii="Verdana" w:hAnsi="Verdana" w:cs="Calibri"/>
                      <w:color w:val="000000"/>
                      <w:sz w:val="16"/>
                      <w:szCs w:val="16"/>
                      <w:lang w:val="lt-LT" w:eastAsia="et-EE"/>
                    </w:rPr>
                  </w:pPr>
                  <w:r w:rsidRPr="008048D3">
                    <w:rPr>
                      <w:rFonts w:ascii="Verdana" w:hAnsi="Verdana" w:cs="Calibri"/>
                      <w:sz w:val="16"/>
                      <w:szCs w:val="16"/>
                      <w:lang w:val="lt-LT"/>
                    </w:rPr>
                    <w:t>Skola</w:t>
                  </w:r>
                  <w:r w:rsidR="00CA53A5" w:rsidRPr="008048D3">
                    <w:rPr>
                      <w:rFonts w:ascii="Verdana" w:hAnsi="Verdana" w:cs="Calibri"/>
                      <w:sz w:val="16"/>
                      <w:szCs w:val="16"/>
                      <w:lang w:val="lt-LT"/>
                    </w:rPr>
                    <w:t>/EBITDA* (x)</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C0A320" w14:textId="4B5F18C4"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3</w:t>
                  </w:r>
                  <w:r w:rsidR="005445A7" w:rsidRPr="008048D3">
                    <w:rPr>
                      <w:rFonts w:ascii="Verdana" w:hAnsi="Verdana" w:cs="Calibri"/>
                      <w:sz w:val="16"/>
                      <w:szCs w:val="16"/>
                      <w:lang w:val="lt-LT"/>
                    </w:rPr>
                    <w:t>,</w:t>
                  </w:r>
                  <w:r w:rsidRPr="008048D3">
                    <w:rPr>
                      <w:rFonts w:ascii="Verdana" w:hAnsi="Verdana" w:cs="Calibri"/>
                      <w:sz w:val="16"/>
                      <w:szCs w:val="16"/>
                      <w:lang w:val="lt-LT"/>
                    </w:rPr>
                    <w:t>97</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EECB9" w14:textId="08C6FE77"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3</w:t>
                  </w:r>
                  <w:r w:rsidR="005445A7" w:rsidRPr="008048D3">
                    <w:rPr>
                      <w:rFonts w:ascii="Verdana" w:hAnsi="Verdana" w:cs="Calibri"/>
                      <w:sz w:val="16"/>
                      <w:szCs w:val="16"/>
                      <w:lang w:val="lt-LT"/>
                    </w:rPr>
                    <w:t>,</w:t>
                  </w:r>
                  <w:r w:rsidRPr="008048D3">
                    <w:rPr>
                      <w:rFonts w:ascii="Verdana" w:hAnsi="Verdana" w:cs="Calibri"/>
                      <w:sz w:val="16"/>
                      <w:szCs w:val="16"/>
                      <w:lang w:val="lt-LT"/>
                    </w:rPr>
                    <w:t>36</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0C56D6" w14:textId="4C3B928C"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3</w:t>
                  </w:r>
                  <w:r w:rsidR="005445A7" w:rsidRPr="008048D3">
                    <w:rPr>
                      <w:rFonts w:ascii="Verdana" w:hAnsi="Verdana" w:cs="Calibri"/>
                      <w:sz w:val="16"/>
                      <w:szCs w:val="16"/>
                      <w:lang w:val="lt-LT"/>
                    </w:rPr>
                    <w:t>,</w:t>
                  </w:r>
                  <w:r w:rsidRPr="008048D3">
                    <w:rPr>
                      <w:rFonts w:ascii="Verdana" w:hAnsi="Verdana" w:cs="Calibri"/>
                      <w:sz w:val="16"/>
                      <w:szCs w:val="16"/>
                      <w:lang w:val="lt-LT"/>
                    </w:rPr>
                    <w:t>07</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6C4396" w14:textId="40C6BBB3"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2</w:t>
                  </w:r>
                  <w:r w:rsidR="005445A7" w:rsidRPr="008048D3">
                    <w:rPr>
                      <w:rFonts w:ascii="Verdana" w:hAnsi="Verdana" w:cs="Calibri"/>
                      <w:sz w:val="16"/>
                      <w:szCs w:val="16"/>
                      <w:lang w:val="lt-LT"/>
                    </w:rPr>
                    <w:t>,</w:t>
                  </w:r>
                  <w:r w:rsidRPr="008048D3">
                    <w:rPr>
                      <w:rFonts w:ascii="Verdana" w:hAnsi="Verdana" w:cs="Calibri"/>
                      <w:sz w:val="16"/>
                      <w:szCs w:val="16"/>
                      <w:lang w:val="lt-LT"/>
                    </w:rPr>
                    <w:t>85</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697E14" w14:textId="727FC49D"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3</w:t>
                  </w:r>
                  <w:r w:rsidR="005445A7" w:rsidRPr="008048D3">
                    <w:rPr>
                      <w:rFonts w:ascii="Verdana" w:hAnsi="Verdana" w:cs="Calibri"/>
                      <w:sz w:val="16"/>
                      <w:szCs w:val="16"/>
                      <w:lang w:val="lt-LT"/>
                    </w:rPr>
                    <w:t>,</w:t>
                  </w:r>
                  <w:r w:rsidRPr="008048D3">
                    <w:rPr>
                      <w:rFonts w:ascii="Verdana" w:hAnsi="Verdana" w:cs="Calibri"/>
                      <w:sz w:val="16"/>
                      <w:szCs w:val="16"/>
                      <w:lang w:val="lt-LT"/>
                    </w:rPr>
                    <w:t>67</w:t>
                  </w:r>
                </w:p>
              </w:tc>
            </w:tr>
            <w:tr w:rsidR="00CA53A5" w:rsidRPr="008048D3" w14:paraId="68274B24" w14:textId="77777777" w:rsidTr="00CA53A5">
              <w:trPr>
                <w:trHeight w:val="293"/>
              </w:trPr>
              <w:tc>
                <w:tcPr>
                  <w:tcW w:w="2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92FDA7" w14:textId="14FCE797" w:rsidR="00CA53A5" w:rsidRPr="008048D3" w:rsidRDefault="005445A7" w:rsidP="00CA53A5">
                  <w:pPr>
                    <w:jc w:val="both"/>
                    <w:rPr>
                      <w:rFonts w:ascii="Verdana" w:hAnsi="Verdana" w:cs="Calibri"/>
                      <w:color w:val="000000"/>
                      <w:sz w:val="16"/>
                      <w:szCs w:val="16"/>
                      <w:lang w:val="lt-LT" w:eastAsia="et-EE"/>
                    </w:rPr>
                  </w:pPr>
                  <w:r w:rsidRPr="008048D3">
                    <w:rPr>
                      <w:rFonts w:ascii="Verdana" w:hAnsi="Verdana" w:cs="Calibri"/>
                      <w:sz w:val="16"/>
                      <w:szCs w:val="16"/>
                      <w:lang w:val="lt-LT"/>
                    </w:rPr>
                    <w:t>Skola</w:t>
                  </w:r>
                  <w:r w:rsidR="00CA53A5" w:rsidRPr="008048D3">
                    <w:rPr>
                      <w:rFonts w:ascii="Verdana" w:hAnsi="Verdana" w:cs="Calibri"/>
                      <w:sz w:val="16"/>
                      <w:szCs w:val="16"/>
                      <w:lang w:val="lt-LT"/>
                    </w:rPr>
                    <w:t>/EBITDA** (x)</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19C1CB" w14:textId="5952E5F1"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4</w:t>
                  </w:r>
                  <w:r w:rsidR="005445A7" w:rsidRPr="008048D3">
                    <w:rPr>
                      <w:rFonts w:ascii="Verdana" w:hAnsi="Verdana" w:cs="Calibri"/>
                      <w:sz w:val="16"/>
                      <w:szCs w:val="16"/>
                      <w:lang w:val="lt-LT"/>
                    </w:rPr>
                    <w:t>,</w:t>
                  </w:r>
                  <w:r w:rsidRPr="008048D3">
                    <w:rPr>
                      <w:rFonts w:ascii="Verdana" w:hAnsi="Verdana" w:cs="Calibri"/>
                      <w:sz w:val="16"/>
                      <w:szCs w:val="16"/>
                      <w:lang w:val="lt-LT"/>
                    </w:rPr>
                    <w:t>29</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C3F39" w14:textId="70E1740F"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3</w:t>
                  </w:r>
                  <w:r w:rsidR="005445A7" w:rsidRPr="008048D3">
                    <w:rPr>
                      <w:rFonts w:ascii="Verdana" w:hAnsi="Verdana" w:cs="Calibri"/>
                      <w:sz w:val="16"/>
                      <w:szCs w:val="16"/>
                      <w:lang w:val="lt-LT"/>
                    </w:rPr>
                    <w:t>,</w:t>
                  </w:r>
                  <w:r w:rsidRPr="008048D3">
                    <w:rPr>
                      <w:rFonts w:ascii="Verdana" w:hAnsi="Verdana" w:cs="Calibri"/>
                      <w:sz w:val="16"/>
                      <w:szCs w:val="16"/>
                      <w:lang w:val="lt-LT"/>
                    </w:rPr>
                    <w:t>89</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822335" w14:textId="4F1CD898"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3</w:t>
                  </w:r>
                  <w:r w:rsidR="005445A7" w:rsidRPr="008048D3">
                    <w:rPr>
                      <w:rFonts w:ascii="Verdana" w:hAnsi="Verdana" w:cs="Calibri"/>
                      <w:sz w:val="16"/>
                      <w:szCs w:val="16"/>
                      <w:lang w:val="lt-LT"/>
                    </w:rPr>
                    <w:t>,</w:t>
                  </w:r>
                  <w:r w:rsidRPr="008048D3">
                    <w:rPr>
                      <w:rFonts w:ascii="Verdana" w:hAnsi="Verdana" w:cs="Calibri"/>
                      <w:sz w:val="16"/>
                      <w:szCs w:val="16"/>
                      <w:lang w:val="lt-LT"/>
                    </w:rPr>
                    <w:t>31</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8D7642" w14:textId="537CB52E"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3</w:t>
                  </w:r>
                  <w:r w:rsidR="005445A7" w:rsidRPr="008048D3">
                    <w:rPr>
                      <w:rFonts w:ascii="Verdana" w:hAnsi="Verdana" w:cs="Calibri"/>
                      <w:sz w:val="16"/>
                      <w:szCs w:val="16"/>
                      <w:lang w:val="lt-LT"/>
                    </w:rPr>
                    <w:t>,</w:t>
                  </w:r>
                  <w:r w:rsidRPr="008048D3">
                    <w:rPr>
                      <w:rFonts w:ascii="Verdana" w:hAnsi="Verdana" w:cs="Calibri"/>
                      <w:sz w:val="16"/>
                      <w:szCs w:val="16"/>
                      <w:lang w:val="lt-LT"/>
                    </w:rPr>
                    <w:t>32</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FE8453" w14:textId="08917B76"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4</w:t>
                  </w:r>
                  <w:r w:rsidR="005445A7" w:rsidRPr="008048D3">
                    <w:rPr>
                      <w:rFonts w:ascii="Verdana" w:hAnsi="Verdana" w:cs="Calibri"/>
                      <w:sz w:val="16"/>
                      <w:szCs w:val="16"/>
                      <w:lang w:val="lt-LT"/>
                    </w:rPr>
                    <w:t>,</w:t>
                  </w:r>
                  <w:r w:rsidRPr="008048D3">
                    <w:rPr>
                      <w:rFonts w:ascii="Verdana" w:hAnsi="Verdana" w:cs="Calibri"/>
                      <w:sz w:val="16"/>
                      <w:szCs w:val="16"/>
                      <w:lang w:val="lt-LT"/>
                    </w:rPr>
                    <w:t>34</w:t>
                  </w:r>
                </w:p>
              </w:tc>
            </w:tr>
            <w:tr w:rsidR="00CA53A5" w:rsidRPr="008048D3" w14:paraId="21131153" w14:textId="77777777" w:rsidTr="00CA53A5">
              <w:trPr>
                <w:trHeight w:val="293"/>
              </w:trPr>
              <w:tc>
                <w:tcPr>
                  <w:tcW w:w="2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467A8449" w14:textId="51E02E1D" w:rsidR="00CA53A5" w:rsidRPr="008048D3" w:rsidRDefault="005445A7" w:rsidP="00CA53A5">
                  <w:pPr>
                    <w:jc w:val="both"/>
                    <w:rPr>
                      <w:rFonts w:ascii="Verdana" w:hAnsi="Verdana" w:cs="Calibri"/>
                      <w:color w:val="000000"/>
                      <w:sz w:val="16"/>
                      <w:szCs w:val="16"/>
                      <w:lang w:val="lt-LT" w:eastAsia="et-EE"/>
                    </w:rPr>
                  </w:pPr>
                  <w:r w:rsidRPr="008048D3">
                    <w:rPr>
                      <w:rFonts w:ascii="Verdana" w:hAnsi="Verdana"/>
                      <w:sz w:val="16"/>
                      <w:szCs w:val="16"/>
                      <w:lang w:val="lt-LT"/>
                    </w:rPr>
                    <w:lastRenderedPageBreak/>
                    <w:t>Nuosavybės koeficientas</w:t>
                  </w:r>
                  <w:r w:rsidRPr="008048D3">
                    <w:rPr>
                      <w:rFonts w:ascii="Verdana" w:hAnsi="Verdana" w:cs="Calibri"/>
                      <w:sz w:val="16"/>
                      <w:szCs w:val="16"/>
                      <w:lang w:val="lt-LT"/>
                    </w:rPr>
                    <w:t xml:space="preserve"> </w:t>
                  </w:r>
                  <w:r w:rsidR="00CA53A5" w:rsidRPr="008048D3">
                    <w:rPr>
                      <w:rFonts w:ascii="Verdana" w:hAnsi="Verdana" w:cs="Calibri"/>
                      <w:sz w:val="16"/>
                      <w:szCs w:val="16"/>
                      <w:lang w:val="lt-LT"/>
                    </w:rPr>
                    <w:t>(x)</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1C70C" w14:textId="5C794881"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0</w:t>
                  </w:r>
                  <w:r w:rsidR="005445A7" w:rsidRPr="008048D3">
                    <w:rPr>
                      <w:rFonts w:ascii="Verdana" w:hAnsi="Verdana" w:cs="Calibri"/>
                      <w:sz w:val="16"/>
                      <w:szCs w:val="16"/>
                      <w:lang w:val="lt-LT"/>
                    </w:rPr>
                    <w:t>,</w:t>
                  </w:r>
                  <w:r w:rsidRPr="008048D3">
                    <w:rPr>
                      <w:rFonts w:ascii="Verdana" w:hAnsi="Verdana" w:cs="Calibri"/>
                      <w:sz w:val="16"/>
                      <w:szCs w:val="16"/>
                      <w:lang w:val="lt-LT"/>
                    </w:rPr>
                    <w:t>50</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E1218" w14:textId="1CC5A9C5"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0</w:t>
                  </w:r>
                  <w:r w:rsidR="005445A7" w:rsidRPr="008048D3">
                    <w:rPr>
                      <w:rFonts w:ascii="Verdana" w:hAnsi="Verdana" w:cs="Calibri"/>
                      <w:sz w:val="16"/>
                      <w:szCs w:val="16"/>
                      <w:lang w:val="lt-LT"/>
                    </w:rPr>
                    <w:t>,</w:t>
                  </w:r>
                  <w:r w:rsidRPr="008048D3">
                    <w:rPr>
                      <w:rFonts w:ascii="Verdana" w:hAnsi="Verdana" w:cs="Calibri"/>
                      <w:sz w:val="16"/>
                      <w:szCs w:val="16"/>
                      <w:lang w:val="lt-LT"/>
                    </w:rPr>
                    <w:t>56</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8EA6D" w14:textId="59C65E2F"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0</w:t>
                  </w:r>
                  <w:r w:rsidR="005445A7" w:rsidRPr="008048D3">
                    <w:rPr>
                      <w:rFonts w:ascii="Verdana" w:hAnsi="Verdana" w:cs="Calibri"/>
                      <w:sz w:val="16"/>
                      <w:szCs w:val="16"/>
                      <w:lang w:val="lt-LT"/>
                    </w:rPr>
                    <w:t>,</w:t>
                  </w:r>
                  <w:r w:rsidRPr="008048D3">
                    <w:rPr>
                      <w:rFonts w:ascii="Verdana" w:hAnsi="Verdana" w:cs="Calibri"/>
                      <w:sz w:val="16"/>
                      <w:szCs w:val="16"/>
                      <w:lang w:val="lt-LT"/>
                    </w:rPr>
                    <w:t>53</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462AEB" w14:textId="79CEA900"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0</w:t>
                  </w:r>
                  <w:r w:rsidR="005445A7" w:rsidRPr="008048D3">
                    <w:rPr>
                      <w:rFonts w:ascii="Verdana" w:hAnsi="Verdana" w:cs="Calibri"/>
                      <w:sz w:val="16"/>
                      <w:szCs w:val="16"/>
                      <w:lang w:val="lt-LT"/>
                    </w:rPr>
                    <w:t>,</w:t>
                  </w:r>
                  <w:r w:rsidRPr="008048D3">
                    <w:rPr>
                      <w:rFonts w:ascii="Verdana" w:hAnsi="Verdana" w:cs="Calibri"/>
                      <w:sz w:val="16"/>
                      <w:szCs w:val="16"/>
                      <w:lang w:val="lt-LT"/>
                    </w:rPr>
                    <w:t>59</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9529C" w14:textId="29D54DA4"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0</w:t>
                  </w:r>
                  <w:r w:rsidR="005445A7" w:rsidRPr="008048D3">
                    <w:rPr>
                      <w:rFonts w:ascii="Verdana" w:hAnsi="Verdana" w:cs="Calibri"/>
                      <w:sz w:val="16"/>
                      <w:szCs w:val="16"/>
                      <w:lang w:val="lt-LT"/>
                    </w:rPr>
                    <w:t>,</w:t>
                  </w:r>
                  <w:r w:rsidRPr="008048D3">
                    <w:rPr>
                      <w:rFonts w:ascii="Verdana" w:hAnsi="Verdana" w:cs="Calibri"/>
                      <w:sz w:val="16"/>
                      <w:szCs w:val="16"/>
                      <w:lang w:val="lt-LT"/>
                    </w:rPr>
                    <w:t>51</w:t>
                  </w:r>
                </w:p>
              </w:tc>
            </w:tr>
            <w:tr w:rsidR="00CA53A5" w:rsidRPr="008048D3" w14:paraId="5228CB34" w14:textId="77777777" w:rsidTr="00CA53A5">
              <w:trPr>
                <w:trHeight w:val="293"/>
              </w:trPr>
              <w:tc>
                <w:tcPr>
                  <w:tcW w:w="2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738C7125" w14:textId="531B8516" w:rsidR="00CA53A5" w:rsidRPr="008048D3" w:rsidRDefault="005445A7" w:rsidP="00CA53A5">
                  <w:pPr>
                    <w:jc w:val="both"/>
                    <w:rPr>
                      <w:rFonts w:ascii="Verdana" w:hAnsi="Verdana" w:cs="Calibri"/>
                      <w:color w:val="000000"/>
                      <w:sz w:val="16"/>
                      <w:szCs w:val="16"/>
                      <w:lang w:val="lt-LT" w:eastAsia="et-EE"/>
                    </w:rPr>
                  </w:pPr>
                  <w:r w:rsidRPr="008048D3">
                    <w:rPr>
                      <w:rFonts w:ascii="Verdana" w:hAnsi="Verdana" w:cs="Calibri"/>
                      <w:sz w:val="16"/>
                      <w:szCs w:val="16"/>
                      <w:lang w:val="lt-LT"/>
                    </w:rPr>
                    <w:t>Koreguotas apyvartinis kapitalas</w:t>
                  </w:r>
                  <w:r w:rsidR="00CA53A5" w:rsidRPr="008048D3">
                    <w:rPr>
                      <w:rFonts w:ascii="Verdana" w:hAnsi="Verdana" w:cs="Calibri"/>
                      <w:sz w:val="16"/>
                      <w:szCs w:val="16"/>
                      <w:lang w:val="lt-LT"/>
                    </w:rPr>
                    <w:t xml:space="preserve">, </w:t>
                  </w:r>
                  <w:r w:rsidRPr="008048D3">
                    <w:rPr>
                      <w:rFonts w:ascii="Verdana" w:hAnsi="Verdana"/>
                      <w:sz w:val="16"/>
                      <w:szCs w:val="16"/>
                      <w:lang w:val="lt-LT"/>
                    </w:rPr>
                    <w:t>tūkst. EUR</w:t>
                  </w:r>
                  <w:r w:rsidRPr="008048D3">
                    <w:rPr>
                      <w:rFonts w:ascii="Verdana" w:hAnsi="Verdana" w:cs="Calibri"/>
                      <w:sz w:val="16"/>
                      <w:szCs w:val="16"/>
                      <w:lang w:val="lt-LT"/>
                    </w:rPr>
                    <w:t xml:space="preserve"> </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DD8A08" w14:textId="46703F82"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29</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602</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053CD4" w14:textId="6E058D62"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19</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812</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FB8ED2" w14:textId="3C02971B"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26</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101</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A2E728" w14:textId="200A31AA"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19</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604</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AAD58" w14:textId="6192ED2A"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15</w:t>
                  </w:r>
                  <w:r w:rsidR="005445A7" w:rsidRPr="008048D3">
                    <w:rPr>
                      <w:rFonts w:ascii="Verdana" w:hAnsi="Verdana" w:cs="Calibri"/>
                      <w:sz w:val="16"/>
                      <w:szCs w:val="16"/>
                      <w:lang w:val="lt-LT"/>
                    </w:rPr>
                    <w:t xml:space="preserve"> </w:t>
                  </w:r>
                  <w:r w:rsidRPr="008048D3">
                    <w:rPr>
                      <w:rFonts w:ascii="Verdana" w:hAnsi="Verdana" w:cs="Calibri"/>
                      <w:sz w:val="16"/>
                      <w:szCs w:val="16"/>
                      <w:lang w:val="lt-LT"/>
                    </w:rPr>
                    <w:t>499</w:t>
                  </w:r>
                </w:p>
              </w:tc>
            </w:tr>
            <w:tr w:rsidR="00CA53A5" w:rsidRPr="008048D3" w14:paraId="4A497AC0" w14:textId="77777777" w:rsidTr="00CA53A5">
              <w:trPr>
                <w:trHeight w:val="293"/>
              </w:trPr>
              <w:tc>
                <w:tcPr>
                  <w:tcW w:w="2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0208799D" w14:textId="08564669" w:rsidR="00CA53A5" w:rsidRPr="008048D3" w:rsidRDefault="005445A7" w:rsidP="00CA53A5">
                  <w:pPr>
                    <w:jc w:val="both"/>
                    <w:rPr>
                      <w:rFonts w:ascii="Verdana" w:hAnsi="Verdana" w:cs="Calibri"/>
                      <w:b/>
                      <w:bCs/>
                      <w:color w:val="000000"/>
                      <w:sz w:val="16"/>
                      <w:szCs w:val="16"/>
                      <w:lang w:val="lt-LT" w:eastAsia="et-EE"/>
                    </w:rPr>
                  </w:pPr>
                  <w:r w:rsidRPr="008048D3">
                    <w:rPr>
                      <w:rFonts w:ascii="Verdana" w:hAnsi="Verdana" w:cs="Calibri"/>
                      <w:sz w:val="16"/>
                      <w:szCs w:val="16"/>
                      <w:lang w:val="lt-LT"/>
                    </w:rPr>
                    <w:t xml:space="preserve">Likvidumo koeficientas </w:t>
                  </w:r>
                  <w:r w:rsidR="00CA53A5" w:rsidRPr="008048D3">
                    <w:rPr>
                      <w:rFonts w:ascii="Verdana" w:hAnsi="Verdana" w:cs="Calibri"/>
                      <w:sz w:val="16"/>
                      <w:szCs w:val="16"/>
                      <w:lang w:val="lt-LT"/>
                    </w:rPr>
                    <w:t>(x)</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2E28D8" w14:textId="4839B6DD"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1</w:t>
                  </w:r>
                  <w:r w:rsidR="005445A7" w:rsidRPr="008048D3">
                    <w:rPr>
                      <w:rFonts w:ascii="Verdana" w:hAnsi="Verdana" w:cs="Calibri"/>
                      <w:sz w:val="16"/>
                      <w:szCs w:val="16"/>
                      <w:lang w:val="lt-LT"/>
                    </w:rPr>
                    <w:t>,</w:t>
                  </w:r>
                  <w:r w:rsidRPr="008048D3">
                    <w:rPr>
                      <w:rFonts w:ascii="Verdana" w:hAnsi="Verdana" w:cs="Calibri"/>
                      <w:sz w:val="16"/>
                      <w:szCs w:val="16"/>
                      <w:lang w:val="lt-LT"/>
                    </w:rPr>
                    <w:t>10</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E1B1C5" w14:textId="67654541"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1</w:t>
                  </w:r>
                  <w:r w:rsidR="005445A7" w:rsidRPr="008048D3">
                    <w:rPr>
                      <w:rFonts w:ascii="Verdana" w:hAnsi="Verdana" w:cs="Calibri"/>
                      <w:sz w:val="16"/>
                      <w:szCs w:val="16"/>
                      <w:lang w:val="lt-LT"/>
                    </w:rPr>
                    <w:t>,</w:t>
                  </w:r>
                  <w:r w:rsidRPr="008048D3">
                    <w:rPr>
                      <w:rFonts w:ascii="Verdana" w:hAnsi="Verdana" w:cs="Calibri"/>
                      <w:sz w:val="16"/>
                      <w:szCs w:val="16"/>
                      <w:lang w:val="lt-LT"/>
                    </w:rPr>
                    <w:t>24</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6DD877" w14:textId="3BAF8A9D" w:rsidR="00CA53A5" w:rsidRPr="008048D3" w:rsidRDefault="00CA53A5" w:rsidP="00CA53A5">
                  <w:pPr>
                    <w:jc w:val="right"/>
                    <w:rPr>
                      <w:rFonts w:ascii="Verdana" w:hAnsi="Verdana" w:cs="Calibri"/>
                      <w:b/>
                      <w:bCs/>
                      <w:color w:val="000000"/>
                      <w:sz w:val="16"/>
                      <w:szCs w:val="16"/>
                      <w:lang w:val="lt-LT" w:eastAsia="et-EE"/>
                    </w:rPr>
                  </w:pPr>
                  <w:r w:rsidRPr="008048D3">
                    <w:rPr>
                      <w:rFonts w:ascii="Verdana" w:hAnsi="Verdana" w:cs="Calibri"/>
                      <w:sz w:val="16"/>
                      <w:szCs w:val="16"/>
                      <w:lang w:val="lt-LT"/>
                    </w:rPr>
                    <w:t>1</w:t>
                  </w:r>
                  <w:r w:rsidR="005445A7" w:rsidRPr="008048D3">
                    <w:rPr>
                      <w:rFonts w:ascii="Verdana" w:hAnsi="Verdana" w:cs="Calibri"/>
                      <w:sz w:val="16"/>
                      <w:szCs w:val="16"/>
                      <w:lang w:val="lt-LT"/>
                    </w:rPr>
                    <w:t>,</w:t>
                  </w:r>
                  <w:r w:rsidRPr="008048D3">
                    <w:rPr>
                      <w:rFonts w:ascii="Verdana" w:hAnsi="Verdana" w:cs="Calibri"/>
                      <w:sz w:val="16"/>
                      <w:szCs w:val="16"/>
                      <w:lang w:val="lt-LT"/>
                    </w:rPr>
                    <w:t>16</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16177D" w14:textId="47A2D0D5" w:rsidR="00CA53A5" w:rsidRPr="008048D3" w:rsidRDefault="00CA53A5" w:rsidP="00CA53A5">
                  <w:pPr>
                    <w:jc w:val="right"/>
                    <w:rPr>
                      <w:rFonts w:ascii="Verdana" w:hAnsi="Verdana" w:cs="Calibri"/>
                      <w:b/>
                      <w:bCs/>
                      <w:color w:val="000000"/>
                      <w:sz w:val="16"/>
                      <w:szCs w:val="16"/>
                      <w:lang w:val="lt-LT" w:eastAsia="et-EE"/>
                    </w:rPr>
                  </w:pPr>
                  <w:r w:rsidRPr="008048D3">
                    <w:rPr>
                      <w:rFonts w:ascii="Verdana" w:hAnsi="Verdana" w:cs="Calibri"/>
                      <w:sz w:val="16"/>
                      <w:szCs w:val="16"/>
                      <w:lang w:val="lt-LT"/>
                    </w:rPr>
                    <w:t>1</w:t>
                  </w:r>
                  <w:r w:rsidR="005445A7" w:rsidRPr="008048D3">
                    <w:rPr>
                      <w:rFonts w:ascii="Verdana" w:hAnsi="Verdana" w:cs="Calibri"/>
                      <w:sz w:val="16"/>
                      <w:szCs w:val="16"/>
                      <w:lang w:val="lt-LT"/>
                    </w:rPr>
                    <w:t>,</w:t>
                  </w:r>
                  <w:r w:rsidRPr="008048D3">
                    <w:rPr>
                      <w:rFonts w:ascii="Verdana" w:hAnsi="Verdana" w:cs="Calibri"/>
                      <w:sz w:val="16"/>
                      <w:szCs w:val="16"/>
                      <w:lang w:val="lt-LT"/>
                    </w:rPr>
                    <w:t>37</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FCA1B" w14:textId="446BDAF4" w:rsidR="00CA53A5" w:rsidRPr="008048D3" w:rsidRDefault="00CA53A5" w:rsidP="00CA53A5">
                  <w:pPr>
                    <w:jc w:val="right"/>
                    <w:rPr>
                      <w:rFonts w:ascii="Verdana" w:hAnsi="Verdana" w:cs="Calibri"/>
                      <w:b/>
                      <w:bCs/>
                      <w:color w:val="000000"/>
                      <w:sz w:val="16"/>
                      <w:szCs w:val="16"/>
                      <w:lang w:val="lt-LT" w:eastAsia="et-EE"/>
                    </w:rPr>
                  </w:pPr>
                  <w:r w:rsidRPr="008048D3">
                    <w:rPr>
                      <w:rFonts w:ascii="Verdana" w:hAnsi="Verdana" w:cs="Calibri"/>
                      <w:sz w:val="16"/>
                      <w:szCs w:val="16"/>
                      <w:lang w:val="lt-LT"/>
                    </w:rPr>
                    <w:t>0</w:t>
                  </w:r>
                  <w:r w:rsidR="005445A7" w:rsidRPr="008048D3">
                    <w:rPr>
                      <w:rFonts w:ascii="Verdana" w:hAnsi="Verdana" w:cs="Calibri"/>
                      <w:sz w:val="16"/>
                      <w:szCs w:val="16"/>
                      <w:lang w:val="lt-LT"/>
                    </w:rPr>
                    <w:t>,</w:t>
                  </w:r>
                  <w:r w:rsidRPr="008048D3">
                    <w:rPr>
                      <w:rFonts w:ascii="Verdana" w:hAnsi="Verdana" w:cs="Calibri"/>
                      <w:sz w:val="16"/>
                      <w:szCs w:val="16"/>
                      <w:lang w:val="lt-LT"/>
                    </w:rPr>
                    <w:t>74</w:t>
                  </w:r>
                </w:p>
              </w:tc>
            </w:tr>
            <w:tr w:rsidR="00CA53A5" w:rsidRPr="008048D3" w14:paraId="6AE6B5BB" w14:textId="77777777" w:rsidTr="00CA53A5">
              <w:trPr>
                <w:trHeight w:val="401"/>
              </w:trPr>
              <w:tc>
                <w:tcPr>
                  <w:tcW w:w="2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7FF6E4D9" w14:textId="3B87B3DA" w:rsidR="00CA53A5" w:rsidRPr="008048D3" w:rsidRDefault="005445A7" w:rsidP="00CA53A5">
                  <w:pPr>
                    <w:jc w:val="both"/>
                    <w:rPr>
                      <w:rFonts w:ascii="Verdana" w:hAnsi="Verdana" w:cs="Calibri"/>
                      <w:color w:val="000000"/>
                      <w:sz w:val="16"/>
                      <w:szCs w:val="16"/>
                      <w:lang w:val="lt-LT" w:eastAsia="et-EE"/>
                    </w:rPr>
                  </w:pPr>
                  <w:r w:rsidRPr="008048D3">
                    <w:rPr>
                      <w:rFonts w:ascii="Verdana" w:hAnsi="Verdana"/>
                      <w:sz w:val="16"/>
                      <w:szCs w:val="16"/>
                      <w:lang w:val="lt-LT"/>
                    </w:rPr>
                    <w:t>Skubaus padengimo koeficientas</w:t>
                  </w:r>
                  <w:r w:rsidRPr="008048D3">
                    <w:rPr>
                      <w:rFonts w:ascii="Verdana" w:hAnsi="Verdana" w:cs="Calibri"/>
                      <w:sz w:val="16"/>
                      <w:szCs w:val="16"/>
                      <w:lang w:val="lt-LT"/>
                    </w:rPr>
                    <w:t xml:space="preserve"> </w:t>
                  </w:r>
                  <w:r w:rsidR="00CA53A5" w:rsidRPr="008048D3">
                    <w:rPr>
                      <w:rFonts w:ascii="Verdana" w:hAnsi="Verdana" w:cs="Calibri"/>
                      <w:sz w:val="16"/>
                      <w:szCs w:val="16"/>
                      <w:lang w:val="lt-LT"/>
                    </w:rPr>
                    <w:t>(x)</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65583" w14:textId="4E94A1B2"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0</w:t>
                  </w:r>
                  <w:r w:rsidR="005445A7" w:rsidRPr="008048D3">
                    <w:rPr>
                      <w:rFonts w:ascii="Verdana" w:hAnsi="Verdana" w:cs="Calibri"/>
                      <w:sz w:val="16"/>
                      <w:szCs w:val="16"/>
                      <w:lang w:val="lt-LT"/>
                    </w:rPr>
                    <w:t>,</w:t>
                  </w:r>
                  <w:r w:rsidRPr="008048D3">
                    <w:rPr>
                      <w:rFonts w:ascii="Verdana" w:hAnsi="Verdana" w:cs="Calibri"/>
                      <w:sz w:val="16"/>
                      <w:szCs w:val="16"/>
                      <w:lang w:val="lt-LT"/>
                    </w:rPr>
                    <w:t>62</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B6606" w14:textId="614B906A"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0</w:t>
                  </w:r>
                  <w:r w:rsidR="005445A7" w:rsidRPr="008048D3">
                    <w:rPr>
                      <w:rFonts w:ascii="Verdana" w:hAnsi="Verdana" w:cs="Calibri"/>
                      <w:sz w:val="16"/>
                      <w:szCs w:val="16"/>
                      <w:lang w:val="lt-LT"/>
                    </w:rPr>
                    <w:t>,</w:t>
                  </w:r>
                  <w:r w:rsidRPr="008048D3">
                    <w:rPr>
                      <w:rFonts w:ascii="Verdana" w:hAnsi="Verdana" w:cs="Calibri"/>
                      <w:sz w:val="16"/>
                      <w:szCs w:val="16"/>
                      <w:lang w:val="lt-LT"/>
                    </w:rPr>
                    <w:t>87</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5A914" w14:textId="59F35784"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0</w:t>
                  </w:r>
                  <w:r w:rsidR="005445A7" w:rsidRPr="008048D3">
                    <w:rPr>
                      <w:rFonts w:ascii="Verdana" w:hAnsi="Verdana" w:cs="Calibri"/>
                      <w:sz w:val="16"/>
                      <w:szCs w:val="16"/>
                      <w:lang w:val="lt-LT"/>
                    </w:rPr>
                    <w:t>,</w:t>
                  </w:r>
                  <w:r w:rsidRPr="008048D3">
                    <w:rPr>
                      <w:rFonts w:ascii="Verdana" w:hAnsi="Verdana" w:cs="Calibri"/>
                      <w:sz w:val="16"/>
                      <w:szCs w:val="16"/>
                      <w:lang w:val="lt-LT"/>
                    </w:rPr>
                    <w:t>56</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4473F" w14:textId="7E69C716"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0</w:t>
                  </w:r>
                  <w:r w:rsidR="005445A7" w:rsidRPr="008048D3">
                    <w:rPr>
                      <w:rFonts w:ascii="Verdana" w:hAnsi="Verdana" w:cs="Calibri"/>
                      <w:sz w:val="16"/>
                      <w:szCs w:val="16"/>
                      <w:lang w:val="lt-LT"/>
                    </w:rPr>
                    <w:t>,</w:t>
                  </w:r>
                  <w:r w:rsidRPr="008048D3">
                    <w:rPr>
                      <w:rFonts w:ascii="Verdana" w:hAnsi="Verdana" w:cs="Calibri"/>
                      <w:sz w:val="16"/>
                      <w:szCs w:val="16"/>
                      <w:lang w:val="lt-LT"/>
                    </w:rPr>
                    <w:t>78</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1E13B4" w14:textId="2D90A74B"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0</w:t>
                  </w:r>
                  <w:r w:rsidR="005445A7" w:rsidRPr="008048D3">
                    <w:rPr>
                      <w:rFonts w:ascii="Verdana" w:hAnsi="Verdana" w:cs="Calibri"/>
                      <w:sz w:val="16"/>
                      <w:szCs w:val="16"/>
                      <w:lang w:val="lt-LT"/>
                    </w:rPr>
                    <w:t>,</w:t>
                  </w:r>
                  <w:r w:rsidRPr="008048D3">
                    <w:rPr>
                      <w:rFonts w:ascii="Verdana" w:hAnsi="Verdana" w:cs="Calibri"/>
                      <w:sz w:val="16"/>
                      <w:szCs w:val="16"/>
                      <w:lang w:val="lt-LT"/>
                    </w:rPr>
                    <w:t>51</w:t>
                  </w:r>
                </w:p>
              </w:tc>
            </w:tr>
            <w:tr w:rsidR="00CA53A5" w:rsidRPr="008048D3" w14:paraId="5BF5A7AC" w14:textId="77777777" w:rsidTr="00CA53A5">
              <w:trPr>
                <w:trHeight w:val="293"/>
              </w:trPr>
              <w:tc>
                <w:tcPr>
                  <w:tcW w:w="2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2FD6C2DE" w14:textId="77777777" w:rsidR="00CA53A5" w:rsidRPr="008048D3" w:rsidRDefault="00CA53A5" w:rsidP="00CA53A5">
                  <w:pPr>
                    <w:jc w:val="both"/>
                    <w:rPr>
                      <w:rFonts w:ascii="Verdana" w:hAnsi="Verdana" w:cs="Calibri"/>
                      <w:color w:val="000000"/>
                      <w:sz w:val="16"/>
                      <w:szCs w:val="16"/>
                      <w:lang w:val="lt-LT" w:eastAsia="et-EE"/>
                    </w:rPr>
                  </w:pPr>
                  <w:r w:rsidRPr="008048D3">
                    <w:rPr>
                      <w:rFonts w:ascii="Verdana" w:hAnsi="Verdana" w:cs="Calibri"/>
                      <w:sz w:val="16"/>
                      <w:szCs w:val="16"/>
                      <w:lang w:val="lt-LT"/>
                    </w:rPr>
                    <w:t>ROA, %</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FE82E8" w14:textId="2C476F25"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5</w:t>
                  </w:r>
                  <w:r w:rsidR="005445A7" w:rsidRPr="008048D3">
                    <w:rPr>
                      <w:rFonts w:ascii="Verdana" w:hAnsi="Verdana" w:cs="Calibri"/>
                      <w:sz w:val="16"/>
                      <w:szCs w:val="16"/>
                      <w:lang w:val="lt-LT"/>
                    </w:rPr>
                    <w:t>,</w:t>
                  </w:r>
                  <w:r w:rsidRPr="008048D3">
                    <w:rPr>
                      <w:rFonts w:ascii="Verdana" w:hAnsi="Verdana" w:cs="Calibri"/>
                      <w:sz w:val="16"/>
                      <w:szCs w:val="16"/>
                      <w:lang w:val="lt-LT"/>
                    </w:rPr>
                    <w:t>13</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0EA54" w14:textId="33A04571"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2</w:t>
                  </w:r>
                  <w:r w:rsidR="00414561" w:rsidRPr="008048D3">
                    <w:rPr>
                      <w:rFonts w:ascii="Verdana" w:hAnsi="Verdana" w:cs="Calibri"/>
                      <w:sz w:val="16"/>
                      <w:szCs w:val="16"/>
                      <w:lang w:val="lt-LT"/>
                    </w:rPr>
                    <w:t>,</w:t>
                  </w:r>
                  <w:r w:rsidRPr="008048D3">
                    <w:rPr>
                      <w:rFonts w:ascii="Verdana" w:hAnsi="Verdana" w:cs="Calibri"/>
                      <w:sz w:val="16"/>
                      <w:szCs w:val="16"/>
                      <w:lang w:val="lt-LT"/>
                    </w:rPr>
                    <w:t>43</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A6F81" w14:textId="37EDAC33"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4</w:t>
                  </w:r>
                  <w:r w:rsidR="00414561" w:rsidRPr="008048D3">
                    <w:rPr>
                      <w:rFonts w:ascii="Verdana" w:hAnsi="Verdana" w:cs="Calibri"/>
                      <w:sz w:val="16"/>
                      <w:szCs w:val="16"/>
                      <w:lang w:val="lt-LT"/>
                    </w:rPr>
                    <w:t>,</w:t>
                  </w:r>
                  <w:r w:rsidRPr="008048D3">
                    <w:rPr>
                      <w:rFonts w:ascii="Verdana" w:hAnsi="Verdana" w:cs="Calibri"/>
                      <w:sz w:val="16"/>
                      <w:szCs w:val="16"/>
                      <w:lang w:val="lt-LT"/>
                    </w:rPr>
                    <w:t>95</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4A3A5" w14:textId="2F74755E"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3</w:t>
                  </w:r>
                  <w:r w:rsidR="00414561" w:rsidRPr="008048D3">
                    <w:rPr>
                      <w:rFonts w:ascii="Verdana" w:hAnsi="Verdana" w:cs="Calibri"/>
                      <w:sz w:val="16"/>
                      <w:szCs w:val="16"/>
                      <w:lang w:val="lt-LT"/>
                    </w:rPr>
                    <w:t>,</w:t>
                  </w:r>
                  <w:r w:rsidRPr="008048D3">
                    <w:rPr>
                      <w:rFonts w:ascii="Verdana" w:hAnsi="Verdana" w:cs="Calibri"/>
                      <w:sz w:val="16"/>
                      <w:szCs w:val="16"/>
                      <w:lang w:val="lt-LT"/>
                    </w:rPr>
                    <w:t>02</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6CD7B" w14:textId="7A85D43E" w:rsidR="00CA53A5" w:rsidRPr="008048D3" w:rsidRDefault="00CA53A5" w:rsidP="00CA53A5">
                  <w:pPr>
                    <w:jc w:val="right"/>
                    <w:rPr>
                      <w:rFonts w:ascii="Verdana" w:hAnsi="Verdana" w:cs="Calibri"/>
                      <w:color w:val="000000"/>
                      <w:sz w:val="16"/>
                      <w:szCs w:val="16"/>
                      <w:lang w:val="lt-LT" w:eastAsia="et-EE"/>
                    </w:rPr>
                  </w:pPr>
                  <w:r w:rsidRPr="008048D3">
                    <w:rPr>
                      <w:rFonts w:ascii="Verdana" w:hAnsi="Verdana" w:cs="Calibri"/>
                      <w:sz w:val="16"/>
                      <w:szCs w:val="16"/>
                      <w:lang w:val="lt-LT"/>
                    </w:rPr>
                    <w:t>6</w:t>
                  </w:r>
                  <w:r w:rsidR="00414561" w:rsidRPr="008048D3">
                    <w:rPr>
                      <w:rFonts w:ascii="Verdana" w:hAnsi="Verdana" w:cs="Calibri"/>
                      <w:sz w:val="16"/>
                      <w:szCs w:val="16"/>
                      <w:lang w:val="lt-LT"/>
                    </w:rPr>
                    <w:t>,</w:t>
                  </w:r>
                  <w:r w:rsidRPr="008048D3">
                    <w:rPr>
                      <w:rFonts w:ascii="Verdana" w:hAnsi="Verdana" w:cs="Calibri"/>
                      <w:sz w:val="16"/>
                      <w:szCs w:val="16"/>
                      <w:lang w:val="lt-LT"/>
                    </w:rPr>
                    <w:t>29</w:t>
                  </w:r>
                </w:p>
              </w:tc>
            </w:tr>
            <w:tr w:rsidR="00CA53A5" w:rsidRPr="008048D3" w14:paraId="293E30DC" w14:textId="77777777" w:rsidTr="00CA53A5">
              <w:trPr>
                <w:trHeight w:val="293"/>
              </w:trPr>
              <w:tc>
                <w:tcPr>
                  <w:tcW w:w="2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2E4FF7" w14:textId="77777777" w:rsidR="00CA53A5" w:rsidRPr="008048D3" w:rsidRDefault="00CA53A5" w:rsidP="00CA53A5">
                  <w:pPr>
                    <w:jc w:val="both"/>
                    <w:rPr>
                      <w:rFonts w:ascii="Verdana" w:hAnsi="Verdana" w:cs="Calibri"/>
                      <w:sz w:val="16"/>
                      <w:szCs w:val="16"/>
                      <w:lang w:val="lt-LT"/>
                    </w:rPr>
                  </w:pPr>
                  <w:r w:rsidRPr="008048D3">
                    <w:rPr>
                      <w:rFonts w:ascii="Verdana" w:hAnsi="Verdana" w:cs="Calibri"/>
                      <w:sz w:val="16"/>
                      <w:szCs w:val="16"/>
                      <w:lang w:val="lt-LT"/>
                    </w:rPr>
                    <w:t>ROE, %</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BEB8CE" w14:textId="0B07498B"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7</w:t>
                  </w:r>
                  <w:r w:rsidR="00414561" w:rsidRPr="008048D3">
                    <w:rPr>
                      <w:rFonts w:ascii="Verdana" w:hAnsi="Verdana" w:cs="Calibri"/>
                      <w:sz w:val="16"/>
                      <w:szCs w:val="16"/>
                      <w:lang w:val="lt-LT"/>
                    </w:rPr>
                    <w:t>,</w:t>
                  </w:r>
                  <w:r w:rsidRPr="008048D3">
                    <w:rPr>
                      <w:rFonts w:ascii="Verdana" w:hAnsi="Verdana" w:cs="Calibri"/>
                      <w:sz w:val="16"/>
                      <w:szCs w:val="16"/>
                      <w:lang w:val="lt-LT"/>
                    </w:rPr>
                    <w:t>3</w:t>
                  </w:r>
                  <w:r w:rsidR="005A7AF3" w:rsidRPr="008048D3">
                    <w:rPr>
                      <w:rFonts w:ascii="Verdana" w:hAnsi="Verdana" w:cs="Calibri"/>
                      <w:sz w:val="16"/>
                      <w:szCs w:val="16"/>
                      <w:lang w:val="lt-LT"/>
                    </w:rPr>
                    <w:t>4</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C49D43" w14:textId="0CBB8C3A"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2</w:t>
                  </w:r>
                  <w:r w:rsidR="00414561" w:rsidRPr="008048D3">
                    <w:rPr>
                      <w:rFonts w:ascii="Verdana" w:hAnsi="Verdana" w:cs="Calibri"/>
                      <w:sz w:val="16"/>
                      <w:szCs w:val="16"/>
                      <w:lang w:val="lt-LT"/>
                    </w:rPr>
                    <w:t>,</w:t>
                  </w:r>
                  <w:r w:rsidRPr="008048D3">
                    <w:rPr>
                      <w:rFonts w:ascii="Verdana" w:hAnsi="Verdana" w:cs="Calibri"/>
                      <w:sz w:val="16"/>
                      <w:szCs w:val="16"/>
                      <w:lang w:val="lt-LT"/>
                    </w:rPr>
                    <w:t>27</w:t>
                  </w:r>
                </w:p>
              </w:tc>
              <w:tc>
                <w:tcPr>
                  <w:tcW w:w="1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D1F8CB" w14:textId="0864AC26"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6</w:t>
                  </w:r>
                  <w:r w:rsidR="00414561" w:rsidRPr="008048D3">
                    <w:rPr>
                      <w:rFonts w:ascii="Verdana" w:hAnsi="Verdana" w:cs="Calibri"/>
                      <w:sz w:val="16"/>
                      <w:szCs w:val="16"/>
                      <w:lang w:val="lt-LT"/>
                    </w:rPr>
                    <w:t>,</w:t>
                  </w:r>
                  <w:r w:rsidRPr="008048D3">
                    <w:rPr>
                      <w:rFonts w:ascii="Verdana" w:hAnsi="Verdana" w:cs="Calibri"/>
                      <w:sz w:val="16"/>
                      <w:szCs w:val="16"/>
                      <w:lang w:val="lt-LT"/>
                    </w:rPr>
                    <w:t>54</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425B7C" w14:textId="67DFCEF1"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3</w:t>
                  </w:r>
                  <w:r w:rsidR="00414561" w:rsidRPr="008048D3">
                    <w:rPr>
                      <w:rFonts w:ascii="Verdana" w:hAnsi="Verdana" w:cs="Calibri"/>
                      <w:sz w:val="16"/>
                      <w:szCs w:val="16"/>
                      <w:lang w:val="lt-LT"/>
                    </w:rPr>
                    <w:t>,</w:t>
                  </w:r>
                  <w:r w:rsidRPr="008048D3">
                    <w:rPr>
                      <w:rFonts w:ascii="Verdana" w:hAnsi="Verdana" w:cs="Calibri"/>
                      <w:sz w:val="16"/>
                      <w:szCs w:val="16"/>
                      <w:lang w:val="lt-LT"/>
                    </w:rPr>
                    <w:t>09</w:t>
                  </w:r>
                </w:p>
              </w:tc>
              <w:tc>
                <w:tcPr>
                  <w:tcW w:w="1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BC98C9" w14:textId="3E6C4F55" w:rsidR="00CA53A5" w:rsidRPr="008048D3" w:rsidRDefault="00CA53A5" w:rsidP="00CA53A5">
                  <w:pPr>
                    <w:jc w:val="right"/>
                    <w:rPr>
                      <w:rFonts w:ascii="Verdana" w:hAnsi="Verdana" w:cs="Calibri"/>
                      <w:sz w:val="16"/>
                      <w:szCs w:val="16"/>
                      <w:lang w:val="lt-LT"/>
                    </w:rPr>
                  </w:pPr>
                  <w:r w:rsidRPr="008048D3">
                    <w:rPr>
                      <w:rFonts w:ascii="Verdana" w:hAnsi="Verdana" w:cs="Calibri"/>
                      <w:sz w:val="16"/>
                      <w:szCs w:val="16"/>
                      <w:lang w:val="lt-LT"/>
                    </w:rPr>
                    <w:t>9</w:t>
                  </w:r>
                  <w:r w:rsidR="00414561" w:rsidRPr="008048D3">
                    <w:rPr>
                      <w:rFonts w:ascii="Verdana" w:hAnsi="Verdana" w:cs="Calibri"/>
                      <w:sz w:val="16"/>
                      <w:szCs w:val="16"/>
                      <w:lang w:val="lt-LT"/>
                    </w:rPr>
                    <w:t>,</w:t>
                  </w:r>
                  <w:r w:rsidRPr="008048D3">
                    <w:rPr>
                      <w:rFonts w:ascii="Verdana" w:hAnsi="Verdana" w:cs="Calibri"/>
                      <w:sz w:val="16"/>
                      <w:szCs w:val="16"/>
                      <w:lang w:val="lt-LT"/>
                    </w:rPr>
                    <w:t>03</w:t>
                  </w:r>
                </w:p>
              </w:tc>
            </w:tr>
          </w:tbl>
          <w:p w14:paraId="3E23F4A5" w14:textId="4A948DD6" w:rsidR="005B68BE" w:rsidRPr="008048D3" w:rsidRDefault="005445A7" w:rsidP="00325B63">
            <w:pPr>
              <w:autoSpaceDE w:val="0"/>
              <w:autoSpaceDN w:val="0"/>
              <w:adjustRightInd w:val="0"/>
              <w:rPr>
                <w:rFonts w:ascii="Verdana" w:hAnsi="Verdana"/>
                <w:i/>
                <w:sz w:val="16"/>
                <w:szCs w:val="16"/>
                <w:lang w:val="lt-LT"/>
              </w:rPr>
            </w:pPr>
            <w:r w:rsidRPr="008048D3">
              <w:rPr>
                <w:rFonts w:ascii="Verdana" w:hAnsi="Verdana"/>
                <w:i/>
                <w:sz w:val="16"/>
                <w:szCs w:val="16"/>
                <w:lang w:val="lt-LT"/>
              </w:rPr>
              <w:t>Šaltinis: Bendrovė (neaudituoti duomenys)</w:t>
            </w:r>
          </w:p>
          <w:p w14:paraId="4FE40FE5" w14:textId="77777777" w:rsidR="00CA53A5" w:rsidRPr="008048D3" w:rsidRDefault="00CA53A5" w:rsidP="00325B63">
            <w:pPr>
              <w:autoSpaceDE w:val="0"/>
              <w:autoSpaceDN w:val="0"/>
              <w:adjustRightInd w:val="0"/>
              <w:rPr>
                <w:rFonts w:ascii="Verdana" w:hAnsi="Verdana"/>
                <w:i/>
                <w:sz w:val="16"/>
                <w:szCs w:val="16"/>
                <w:lang w:val="lt-LT"/>
              </w:rPr>
            </w:pPr>
          </w:p>
          <w:p w14:paraId="4C49E71E" w14:textId="57117F89" w:rsidR="00873B32" w:rsidRPr="008048D3" w:rsidRDefault="00873B32" w:rsidP="00873B32">
            <w:pPr>
              <w:autoSpaceDE w:val="0"/>
              <w:autoSpaceDN w:val="0"/>
              <w:adjustRightInd w:val="0"/>
              <w:jc w:val="both"/>
              <w:rPr>
                <w:rFonts w:ascii="Verdana" w:hAnsi="Verdana"/>
                <w:sz w:val="16"/>
                <w:szCs w:val="16"/>
                <w:lang w:val="lt-LT"/>
              </w:rPr>
            </w:pPr>
            <w:r w:rsidRPr="008048D3">
              <w:rPr>
                <w:rFonts w:ascii="Verdana" w:hAnsi="Verdana"/>
                <w:sz w:val="16"/>
                <w:szCs w:val="16"/>
                <w:lang w:val="lt-LT"/>
              </w:rPr>
              <w:t>AVRVP suderinimas su Konsoliduotų finansinių ataskaitų straipsniais pateikiamas toliau</w:t>
            </w:r>
            <w:r w:rsidR="00414561" w:rsidRPr="008048D3">
              <w:rPr>
                <w:rFonts w:ascii="Verdana" w:hAnsi="Verdana"/>
                <w:sz w:val="16"/>
                <w:szCs w:val="16"/>
                <w:lang w:val="lt-LT"/>
              </w:rPr>
              <w:t xml:space="preserve"> (tūkst. EUR)</w:t>
            </w:r>
            <w:r w:rsidRPr="008048D3">
              <w:rPr>
                <w:rFonts w:ascii="Verdana" w:hAnsi="Verdana"/>
                <w:sz w:val="16"/>
                <w:szCs w:val="16"/>
                <w:lang w:val="lt-LT"/>
              </w:rPr>
              <w:t>:</w:t>
            </w:r>
          </w:p>
          <w:p w14:paraId="5114C6F8" w14:textId="77777777" w:rsidR="00873B32" w:rsidRPr="008048D3" w:rsidRDefault="00873B32" w:rsidP="005B68BE">
            <w:pPr>
              <w:jc w:val="both"/>
              <w:rPr>
                <w:rFonts w:ascii="Verdana" w:hAnsi="Verdana"/>
                <w:sz w:val="16"/>
                <w:szCs w:val="16"/>
                <w:lang w:val="lt-LT"/>
              </w:rPr>
            </w:pPr>
          </w:p>
          <w:p w14:paraId="7B1911B6" w14:textId="362EB78C" w:rsidR="00631485" w:rsidRPr="008048D3" w:rsidRDefault="00873B32" w:rsidP="00631485">
            <w:pPr>
              <w:widowControl w:val="0"/>
              <w:jc w:val="both"/>
              <w:rPr>
                <w:rFonts w:ascii="Verdana" w:hAnsi="Verdana" w:cs="Arial"/>
                <w:color w:val="000000"/>
                <w:sz w:val="16"/>
                <w:szCs w:val="16"/>
                <w:lang w:val="lt-LT"/>
              </w:rPr>
            </w:pPr>
            <w:r w:rsidRPr="008048D3">
              <w:rPr>
                <w:rFonts w:ascii="Verdana" w:hAnsi="Verdana"/>
                <w:sz w:val="16"/>
                <w:szCs w:val="16"/>
                <w:lang w:val="lt-LT"/>
              </w:rPr>
              <w:t xml:space="preserve">EBITDA* </w:t>
            </w:r>
            <w:r w:rsidR="00631485" w:rsidRPr="008048D3">
              <w:rPr>
                <w:rFonts w:ascii="Verdana" w:hAnsi="Verdana"/>
                <w:sz w:val="16"/>
                <w:szCs w:val="16"/>
                <w:lang w:val="lt-LT"/>
              </w:rPr>
              <w:t xml:space="preserve">reiškia </w:t>
            </w:r>
            <w:r w:rsidRPr="008048D3">
              <w:rPr>
                <w:rFonts w:ascii="Verdana" w:hAnsi="Verdana"/>
                <w:sz w:val="16"/>
                <w:szCs w:val="16"/>
                <w:lang w:val="lt-LT"/>
              </w:rPr>
              <w:t>pagrindinės veiklos gryn</w:t>
            </w:r>
            <w:r w:rsidR="00631485" w:rsidRPr="008048D3">
              <w:rPr>
                <w:rFonts w:ascii="Verdana" w:hAnsi="Verdana"/>
                <w:sz w:val="16"/>
                <w:szCs w:val="16"/>
                <w:lang w:val="lt-LT"/>
              </w:rPr>
              <w:t xml:space="preserve">uosius </w:t>
            </w:r>
            <w:r w:rsidRPr="008048D3">
              <w:rPr>
                <w:rFonts w:ascii="Verdana" w:hAnsi="Verdana"/>
                <w:sz w:val="16"/>
                <w:szCs w:val="16"/>
                <w:lang w:val="lt-LT"/>
              </w:rPr>
              <w:t>pinigų sraut</w:t>
            </w:r>
            <w:r w:rsidR="00631485" w:rsidRPr="008048D3">
              <w:rPr>
                <w:rFonts w:ascii="Verdana" w:hAnsi="Verdana"/>
                <w:sz w:val="16"/>
                <w:szCs w:val="16"/>
                <w:lang w:val="lt-LT"/>
              </w:rPr>
              <w:t>us, eliminavus nuostolio (pelno) korekcijas pasikeitus biologinio turto tikrajai vertei</w:t>
            </w:r>
            <w:r w:rsidR="00631485" w:rsidRPr="008048D3">
              <w:rPr>
                <w:rFonts w:ascii="Verdana" w:hAnsi="Verdana" w:cs="Arial"/>
                <w:color w:val="000000"/>
                <w:sz w:val="16"/>
                <w:szCs w:val="16"/>
                <w:lang w:val="lt-LT"/>
              </w:rPr>
              <w:t>, pasikeitus apyvartiniam kapitalui</w:t>
            </w:r>
            <w:r w:rsidR="00631485" w:rsidRPr="008048D3">
              <w:rPr>
                <w:rFonts w:ascii="Verdana" w:hAnsi="Verdana"/>
                <w:color w:val="000000"/>
                <w:sz w:val="16"/>
                <w:lang w:val="lt-LT"/>
              </w:rPr>
              <w:t>, sumokėtą pelno mokestį</w:t>
            </w:r>
            <w:r w:rsidR="00631485" w:rsidRPr="008048D3">
              <w:rPr>
                <w:rFonts w:ascii="Verdana" w:hAnsi="Verdana" w:cs="Arial"/>
                <w:color w:val="000000"/>
                <w:sz w:val="16"/>
                <w:szCs w:val="16"/>
                <w:lang w:val="lt-LT"/>
              </w:rPr>
              <w:t>, gautas palūkanas, sumokėtas palūkanas. 2017</w:t>
            </w:r>
            <w:r w:rsidR="0008162F" w:rsidRPr="008048D3">
              <w:rPr>
                <w:rFonts w:ascii="Verdana" w:hAnsi="Verdana" w:cs="Arial"/>
                <w:color w:val="000000"/>
                <w:sz w:val="16"/>
                <w:szCs w:val="16"/>
                <w:lang w:val="lt-LT"/>
              </w:rPr>
              <w:t xml:space="preserve"> m.</w:t>
            </w:r>
            <w:r w:rsidR="00631485" w:rsidRPr="008048D3">
              <w:rPr>
                <w:rFonts w:ascii="Verdana" w:hAnsi="Verdana" w:cs="Arial"/>
                <w:color w:val="000000"/>
                <w:sz w:val="16"/>
                <w:szCs w:val="16"/>
                <w:lang w:val="lt-LT"/>
              </w:rPr>
              <w:t xml:space="preserve">: </w:t>
            </w:r>
            <w:r w:rsidR="0008162F" w:rsidRPr="008048D3">
              <w:rPr>
                <w:rFonts w:ascii="Verdana" w:hAnsi="Verdana"/>
                <w:sz w:val="16"/>
                <w:szCs w:val="16"/>
                <w:lang w:val="lt-LT"/>
              </w:rPr>
              <w:t>Pagrindinės veiklos grynieji pinigų srautai</w:t>
            </w:r>
            <w:r w:rsidR="0008162F" w:rsidRPr="008048D3">
              <w:rPr>
                <w:rFonts w:ascii="Verdana" w:hAnsi="Verdana" w:cs="Arial"/>
                <w:color w:val="000000"/>
                <w:sz w:val="16"/>
                <w:szCs w:val="16"/>
                <w:lang w:val="lt-LT"/>
              </w:rPr>
              <w:t xml:space="preserve"> </w:t>
            </w:r>
            <w:r w:rsidR="00631485" w:rsidRPr="008048D3">
              <w:rPr>
                <w:rFonts w:ascii="Verdana" w:hAnsi="Verdana" w:cs="Arial"/>
                <w:color w:val="000000"/>
                <w:sz w:val="16"/>
                <w:szCs w:val="16"/>
                <w:lang w:val="lt-LT"/>
              </w:rPr>
              <w:t>4</w:t>
            </w:r>
            <w:r w:rsidR="0008162F" w:rsidRPr="008048D3">
              <w:rPr>
                <w:rFonts w:ascii="Verdana" w:hAnsi="Verdana" w:cs="Arial"/>
                <w:color w:val="000000"/>
                <w:sz w:val="16"/>
                <w:szCs w:val="16"/>
                <w:lang w:val="lt-LT"/>
              </w:rPr>
              <w:t xml:space="preserve"> </w:t>
            </w:r>
            <w:r w:rsidR="00631485" w:rsidRPr="008048D3">
              <w:rPr>
                <w:rFonts w:ascii="Verdana" w:hAnsi="Verdana" w:cs="Arial"/>
                <w:color w:val="000000"/>
                <w:sz w:val="16"/>
                <w:szCs w:val="16"/>
                <w:lang w:val="lt-LT"/>
              </w:rPr>
              <w:t xml:space="preserve">365 + </w:t>
            </w:r>
            <w:r w:rsidR="0008162F" w:rsidRPr="008048D3">
              <w:rPr>
                <w:rFonts w:ascii="Verdana" w:hAnsi="Verdana"/>
                <w:sz w:val="16"/>
                <w:szCs w:val="16"/>
                <w:lang w:val="lt-LT"/>
              </w:rPr>
              <w:t>Nuostolis (pelnas) pasikeitus biologinio turto tikrajai vertei</w:t>
            </w:r>
            <w:r w:rsidR="0008162F" w:rsidRPr="008048D3">
              <w:rPr>
                <w:rFonts w:ascii="Verdana" w:hAnsi="Verdana" w:cs="Arial"/>
                <w:color w:val="000000"/>
                <w:sz w:val="16"/>
                <w:szCs w:val="16"/>
                <w:lang w:val="lt-LT"/>
              </w:rPr>
              <w:t xml:space="preserve"> </w:t>
            </w:r>
            <w:r w:rsidR="00631485" w:rsidRPr="008048D3">
              <w:rPr>
                <w:rFonts w:ascii="Verdana" w:hAnsi="Verdana" w:cs="Arial"/>
                <w:color w:val="000000"/>
                <w:sz w:val="16"/>
                <w:szCs w:val="16"/>
                <w:lang w:val="lt-LT"/>
              </w:rPr>
              <w:t>4</w:t>
            </w:r>
            <w:r w:rsidR="0008162F" w:rsidRPr="008048D3">
              <w:rPr>
                <w:rFonts w:ascii="Verdana" w:hAnsi="Verdana" w:cs="Arial"/>
                <w:color w:val="000000"/>
                <w:sz w:val="16"/>
                <w:szCs w:val="16"/>
                <w:lang w:val="lt-LT"/>
              </w:rPr>
              <w:t xml:space="preserve"> </w:t>
            </w:r>
            <w:r w:rsidR="00631485" w:rsidRPr="008048D3">
              <w:rPr>
                <w:rFonts w:ascii="Verdana" w:hAnsi="Verdana" w:cs="Arial"/>
                <w:color w:val="000000"/>
                <w:sz w:val="16"/>
                <w:szCs w:val="16"/>
                <w:lang w:val="lt-LT"/>
              </w:rPr>
              <w:t xml:space="preserve">159 + </w:t>
            </w:r>
            <w:r w:rsidR="0008162F" w:rsidRPr="008048D3">
              <w:rPr>
                <w:rFonts w:ascii="Verdana" w:hAnsi="Verdana" w:cs="Arial"/>
                <w:color w:val="000000"/>
                <w:sz w:val="16"/>
                <w:szCs w:val="16"/>
                <w:lang w:val="lt-LT"/>
              </w:rPr>
              <w:t xml:space="preserve">Biologinio turto </w:t>
            </w:r>
            <w:r w:rsidR="00631485" w:rsidRPr="008048D3">
              <w:rPr>
                <w:rFonts w:ascii="Verdana" w:hAnsi="Verdana" w:cs="Arial"/>
                <w:color w:val="000000"/>
                <w:sz w:val="16"/>
                <w:szCs w:val="16"/>
                <w:lang w:val="lt-LT"/>
              </w:rPr>
              <w:t>(</w:t>
            </w:r>
            <w:r w:rsidR="0008162F" w:rsidRPr="008048D3">
              <w:rPr>
                <w:rFonts w:ascii="Verdana" w:hAnsi="Verdana" w:cs="Arial"/>
                <w:color w:val="000000"/>
                <w:sz w:val="16"/>
                <w:szCs w:val="16"/>
                <w:lang w:val="lt-LT"/>
              </w:rPr>
              <w:t>padidėjimas</w:t>
            </w:r>
            <w:r w:rsidR="00631485" w:rsidRPr="008048D3">
              <w:rPr>
                <w:rFonts w:ascii="Verdana" w:hAnsi="Verdana" w:cs="Arial"/>
                <w:color w:val="000000"/>
                <w:sz w:val="16"/>
                <w:szCs w:val="16"/>
                <w:lang w:val="lt-LT"/>
              </w:rPr>
              <w:t xml:space="preserve">) </w:t>
            </w:r>
            <w:r w:rsidR="0008162F" w:rsidRPr="008048D3">
              <w:rPr>
                <w:rFonts w:ascii="Verdana" w:hAnsi="Verdana" w:cs="Arial"/>
                <w:color w:val="000000"/>
                <w:sz w:val="16"/>
                <w:szCs w:val="16"/>
                <w:lang w:val="lt-LT"/>
              </w:rPr>
              <w:t xml:space="preserve">sumažėjimas </w:t>
            </w:r>
            <w:r w:rsidR="00631485" w:rsidRPr="008048D3">
              <w:rPr>
                <w:rFonts w:ascii="Verdana" w:hAnsi="Verdana" w:cs="Arial"/>
                <w:color w:val="000000"/>
                <w:sz w:val="16"/>
                <w:szCs w:val="16"/>
                <w:lang w:val="lt-LT"/>
              </w:rPr>
              <w:t>6</w:t>
            </w:r>
            <w:r w:rsidR="0008162F" w:rsidRPr="008048D3">
              <w:rPr>
                <w:rFonts w:ascii="Verdana" w:hAnsi="Verdana" w:cs="Arial"/>
                <w:color w:val="000000"/>
                <w:sz w:val="16"/>
                <w:szCs w:val="16"/>
                <w:lang w:val="lt-LT"/>
              </w:rPr>
              <w:t xml:space="preserve"> </w:t>
            </w:r>
            <w:r w:rsidR="00631485" w:rsidRPr="008048D3">
              <w:rPr>
                <w:rFonts w:ascii="Verdana" w:hAnsi="Verdana" w:cs="Arial"/>
                <w:color w:val="000000"/>
                <w:sz w:val="16"/>
                <w:szCs w:val="16"/>
                <w:lang w:val="lt-LT"/>
              </w:rPr>
              <w:t xml:space="preserve">568 - </w:t>
            </w:r>
            <w:r w:rsidR="0008162F" w:rsidRPr="008048D3">
              <w:rPr>
                <w:rFonts w:ascii="Verdana" w:hAnsi="Verdana"/>
                <w:sz w:val="16"/>
                <w:szCs w:val="16"/>
                <w:lang w:val="lt-LT"/>
              </w:rPr>
              <w:t>Prekybos gautinų sumų</w:t>
            </w:r>
            <w:r w:rsidR="00767F8A" w:rsidRPr="008048D3">
              <w:rPr>
                <w:rFonts w:ascii="Verdana" w:hAnsi="Verdana"/>
                <w:sz w:val="16"/>
                <w:szCs w:val="16"/>
                <w:lang w:val="lt-LT"/>
              </w:rPr>
              <w:t xml:space="preserve"> ir</w:t>
            </w:r>
            <w:r w:rsidR="0008162F" w:rsidRPr="008048D3">
              <w:rPr>
                <w:rFonts w:ascii="Verdana" w:hAnsi="Verdana"/>
                <w:sz w:val="16"/>
                <w:szCs w:val="16"/>
                <w:lang w:val="lt-LT"/>
              </w:rPr>
              <w:t xml:space="preserve"> išankstinių apmokėjim</w:t>
            </w:r>
            <w:r w:rsidR="00767F8A" w:rsidRPr="008048D3">
              <w:rPr>
                <w:rFonts w:ascii="Verdana" w:hAnsi="Verdana"/>
                <w:sz w:val="16"/>
                <w:szCs w:val="16"/>
                <w:lang w:val="lt-LT"/>
              </w:rPr>
              <w:t>ų</w:t>
            </w:r>
            <w:r w:rsidR="0008162F" w:rsidRPr="008048D3">
              <w:rPr>
                <w:rFonts w:ascii="Verdana" w:hAnsi="Verdana" w:cs="Arial"/>
                <w:color w:val="000000"/>
                <w:sz w:val="16"/>
                <w:szCs w:val="16"/>
                <w:lang w:val="lt-LT"/>
              </w:rPr>
              <w:t xml:space="preserve"> </w:t>
            </w:r>
            <w:r w:rsidR="00767F8A" w:rsidRPr="008048D3">
              <w:rPr>
                <w:rFonts w:ascii="Verdana" w:hAnsi="Verdana" w:cs="Arial"/>
                <w:color w:val="000000"/>
                <w:sz w:val="16"/>
                <w:szCs w:val="16"/>
                <w:lang w:val="lt-LT"/>
              </w:rPr>
              <w:t xml:space="preserve">(padidėjimas) sumažėjimas </w:t>
            </w:r>
            <w:r w:rsidR="00631485" w:rsidRPr="008048D3">
              <w:rPr>
                <w:rFonts w:ascii="Verdana" w:hAnsi="Verdana" w:cs="Arial"/>
                <w:color w:val="000000"/>
                <w:sz w:val="16"/>
                <w:szCs w:val="16"/>
                <w:lang w:val="lt-LT"/>
              </w:rPr>
              <w:t>3</w:t>
            </w:r>
            <w:r w:rsidR="00767F8A" w:rsidRPr="008048D3">
              <w:rPr>
                <w:rFonts w:ascii="Verdana" w:hAnsi="Verdana" w:cs="Arial"/>
                <w:color w:val="000000"/>
                <w:sz w:val="16"/>
                <w:szCs w:val="16"/>
                <w:lang w:val="lt-LT"/>
              </w:rPr>
              <w:t xml:space="preserve"> </w:t>
            </w:r>
            <w:r w:rsidR="00631485" w:rsidRPr="008048D3">
              <w:rPr>
                <w:rFonts w:ascii="Verdana" w:hAnsi="Verdana" w:cs="Arial"/>
                <w:color w:val="000000"/>
                <w:sz w:val="16"/>
                <w:szCs w:val="16"/>
                <w:lang w:val="lt-LT"/>
              </w:rPr>
              <w:t xml:space="preserve">468 + </w:t>
            </w:r>
            <w:r w:rsidR="00767F8A" w:rsidRPr="008048D3">
              <w:rPr>
                <w:rFonts w:ascii="Verdana" w:hAnsi="Verdana" w:cs="Arial"/>
                <w:color w:val="000000"/>
                <w:sz w:val="16"/>
                <w:szCs w:val="16"/>
                <w:lang w:val="lt-LT"/>
              </w:rPr>
              <w:t xml:space="preserve">Atsargų (padidėjimas) sumažėjimas </w:t>
            </w:r>
            <w:r w:rsidR="00631485" w:rsidRPr="008048D3">
              <w:rPr>
                <w:rFonts w:ascii="Verdana" w:hAnsi="Verdana" w:cs="Arial"/>
                <w:color w:val="000000"/>
                <w:sz w:val="16"/>
                <w:szCs w:val="16"/>
                <w:lang w:val="lt-LT"/>
              </w:rPr>
              <w:t>6</w:t>
            </w:r>
            <w:r w:rsidR="00767F8A" w:rsidRPr="008048D3">
              <w:rPr>
                <w:rFonts w:ascii="Verdana" w:hAnsi="Verdana" w:cs="Arial"/>
                <w:color w:val="000000"/>
                <w:sz w:val="16"/>
                <w:szCs w:val="16"/>
                <w:lang w:val="lt-LT"/>
              </w:rPr>
              <w:t xml:space="preserve"> </w:t>
            </w:r>
            <w:r w:rsidR="00631485" w:rsidRPr="008048D3">
              <w:rPr>
                <w:rFonts w:ascii="Verdana" w:hAnsi="Verdana" w:cs="Arial"/>
                <w:color w:val="000000"/>
                <w:sz w:val="16"/>
                <w:szCs w:val="16"/>
                <w:lang w:val="lt-LT"/>
              </w:rPr>
              <w:t xml:space="preserve">675 – </w:t>
            </w:r>
            <w:r w:rsidR="00767F8A" w:rsidRPr="008048D3">
              <w:rPr>
                <w:rFonts w:ascii="Verdana" w:hAnsi="Verdana" w:cs="Arial"/>
                <w:color w:val="000000"/>
                <w:sz w:val="16"/>
                <w:szCs w:val="16"/>
                <w:lang w:val="lt-LT"/>
              </w:rPr>
              <w:t xml:space="preserve">Prekybos ir kitų mokėtinų sumų sumažėjimas </w:t>
            </w:r>
            <w:r w:rsidR="00631485" w:rsidRPr="008048D3">
              <w:rPr>
                <w:rFonts w:ascii="Verdana" w:hAnsi="Verdana" w:cs="Arial"/>
                <w:color w:val="000000"/>
                <w:sz w:val="16"/>
                <w:szCs w:val="16"/>
                <w:lang w:val="lt-LT"/>
              </w:rPr>
              <w:t>(</w:t>
            </w:r>
            <w:r w:rsidR="00767F8A" w:rsidRPr="008048D3">
              <w:rPr>
                <w:rFonts w:ascii="Verdana" w:hAnsi="Verdana" w:cs="Arial"/>
                <w:color w:val="000000"/>
                <w:sz w:val="16"/>
                <w:szCs w:val="16"/>
                <w:lang w:val="lt-LT"/>
              </w:rPr>
              <w:t>padidėjimas</w:t>
            </w:r>
            <w:r w:rsidR="00631485" w:rsidRPr="008048D3">
              <w:rPr>
                <w:rFonts w:ascii="Verdana" w:hAnsi="Verdana" w:cs="Arial"/>
                <w:color w:val="000000"/>
                <w:sz w:val="16"/>
                <w:szCs w:val="16"/>
                <w:lang w:val="lt-LT"/>
              </w:rPr>
              <w:t>) 5</w:t>
            </w:r>
            <w:r w:rsidR="00767F8A" w:rsidRPr="008048D3">
              <w:rPr>
                <w:rFonts w:ascii="Verdana" w:hAnsi="Verdana" w:cs="Arial"/>
                <w:color w:val="000000"/>
                <w:sz w:val="16"/>
                <w:szCs w:val="16"/>
                <w:lang w:val="lt-LT"/>
              </w:rPr>
              <w:t xml:space="preserve"> </w:t>
            </w:r>
            <w:r w:rsidR="00631485" w:rsidRPr="008048D3">
              <w:rPr>
                <w:rFonts w:ascii="Verdana" w:hAnsi="Verdana" w:cs="Arial"/>
                <w:color w:val="000000"/>
                <w:sz w:val="16"/>
                <w:szCs w:val="16"/>
                <w:lang w:val="lt-LT"/>
              </w:rPr>
              <w:t xml:space="preserve">908 + </w:t>
            </w:r>
            <w:r w:rsidR="00767F8A" w:rsidRPr="008048D3">
              <w:rPr>
                <w:rFonts w:ascii="Verdana" w:hAnsi="Verdana" w:cs="Arial"/>
                <w:color w:val="000000"/>
                <w:sz w:val="16"/>
                <w:szCs w:val="16"/>
                <w:lang w:val="lt-LT"/>
              </w:rPr>
              <w:t xml:space="preserve">Sumokėtos palūkanos </w:t>
            </w:r>
            <w:r w:rsidR="00631485" w:rsidRPr="008048D3">
              <w:rPr>
                <w:rFonts w:ascii="Verdana" w:hAnsi="Verdana" w:cs="Arial"/>
                <w:color w:val="000000"/>
                <w:sz w:val="16"/>
                <w:szCs w:val="16"/>
                <w:lang w:val="lt-LT"/>
              </w:rPr>
              <w:t>1</w:t>
            </w:r>
            <w:r w:rsidR="000806A4" w:rsidRPr="008048D3">
              <w:rPr>
                <w:rFonts w:ascii="Verdana" w:hAnsi="Verdana" w:cs="Arial"/>
                <w:color w:val="000000"/>
                <w:sz w:val="16"/>
                <w:szCs w:val="16"/>
                <w:lang w:val="lt-LT"/>
              </w:rPr>
              <w:t xml:space="preserve"> </w:t>
            </w:r>
            <w:r w:rsidR="00631485" w:rsidRPr="008048D3">
              <w:rPr>
                <w:rFonts w:ascii="Verdana" w:hAnsi="Verdana" w:cs="Arial"/>
                <w:color w:val="000000"/>
                <w:sz w:val="16"/>
                <w:szCs w:val="16"/>
                <w:lang w:val="lt-LT"/>
              </w:rPr>
              <w:t>802 = 14</w:t>
            </w:r>
            <w:r w:rsidR="000806A4" w:rsidRPr="008048D3">
              <w:rPr>
                <w:rFonts w:ascii="Verdana" w:hAnsi="Verdana" w:cs="Arial"/>
                <w:color w:val="000000"/>
                <w:sz w:val="16"/>
                <w:szCs w:val="16"/>
                <w:lang w:val="lt-LT"/>
              </w:rPr>
              <w:t xml:space="preserve"> </w:t>
            </w:r>
            <w:r w:rsidR="00631485" w:rsidRPr="008048D3">
              <w:rPr>
                <w:rFonts w:ascii="Verdana" w:hAnsi="Verdana" w:cs="Arial"/>
                <w:color w:val="000000"/>
                <w:sz w:val="16"/>
                <w:szCs w:val="16"/>
                <w:lang w:val="lt-LT"/>
              </w:rPr>
              <w:t>193. </w:t>
            </w:r>
          </w:p>
          <w:p w14:paraId="0BC9739F" w14:textId="77777777" w:rsidR="00631485" w:rsidRPr="008048D3" w:rsidRDefault="00631485" w:rsidP="00631485">
            <w:pPr>
              <w:jc w:val="both"/>
              <w:rPr>
                <w:rFonts w:ascii="Verdana" w:hAnsi="Verdana" w:cs="Arial"/>
                <w:color w:val="000000"/>
                <w:sz w:val="16"/>
                <w:szCs w:val="16"/>
                <w:lang w:val="lt-LT"/>
              </w:rPr>
            </w:pPr>
          </w:p>
          <w:p w14:paraId="4A656205" w14:textId="30578F42" w:rsidR="00631485" w:rsidRPr="008048D3" w:rsidRDefault="000F0D77" w:rsidP="00631485">
            <w:pPr>
              <w:jc w:val="both"/>
              <w:rPr>
                <w:rFonts w:ascii="Verdana" w:hAnsi="Verdana" w:cs="Arial"/>
                <w:color w:val="000000"/>
                <w:sz w:val="16"/>
                <w:szCs w:val="16"/>
                <w:lang w:val="lt-LT" w:eastAsia="lt-LT"/>
              </w:rPr>
            </w:pPr>
            <w:r w:rsidRPr="008048D3">
              <w:rPr>
                <w:rFonts w:ascii="Verdana" w:hAnsi="Verdana" w:cs="Arial"/>
                <w:color w:val="000000"/>
                <w:sz w:val="16"/>
                <w:szCs w:val="16"/>
                <w:lang w:val="lt-LT"/>
              </w:rPr>
              <w:t xml:space="preserve">Vadovybė naudoja </w:t>
            </w:r>
            <w:r w:rsidR="00631485" w:rsidRPr="008048D3">
              <w:rPr>
                <w:rFonts w:ascii="Verdana" w:hAnsi="Verdana" w:cs="Arial"/>
                <w:color w:val="000000"/>
                <w:sz w:val="16"/>
                <w:szCs w:val="16"/>
                <w:lang w:val="lt-LT"/>
              </w:rPr>
              <w:t>EBITDA</w:t>
            </w:r>
            <w:r w:rsidRPr="008048D3">
              <w:rPr>
                <w:rFonts w:ascii="Verdana" w:hAnsi="Verdana" w:cs="Arial"/>
                <w:color w:val="000000"/>
                <w:sz w:val="16"/>
                <w:szCs w:val="16"/>
                <w:lang w:val="lt-LT"/>
              </w:rPr>
              <w:t xml:space="preserve">, kadangi ji mano, kad </w:t>
            </w:r>
            <w:r w:rsidR="00631485" w:rsidRPr="008048D3">
              <w:rPr>
                <w:rFonts w:ascii="Verdana" w:hAnsi="Verdana" w:cs="Arial"/>
                <w:color w:val="000000"/>
                <w:sz w:val="16"/>
                <w:szCs w:val="16"/>
                <w:lang w:val="lt-LT"/>
              </w:rPr>
              <w:t xml:space="preserve">EBITDA </w:t>
            </w:r>
            <w:r w:rsidRPr="008048D3">
              <w:rPr>
                <w:rFonts w:ascii="Verdana" w:hAnsi="Verdana" w:cs="Arial"/>
                <w:color w:val="000000"/>
                <w:sz w:val="16"/>
                <w:szCs w:val="16"/>
                <w:lang w:val="lt-LT"/>
              </w:rPr>
              <w:t>yra skolintojų, investuotojų ir analitikų bendrai naudojamas rodiklis</w:t>
            </w:r>
            <w:r w:rsidR="00631485" w:rsidRPr="008048D3">
              <w:rPr>
                <w:rFonts w:ascii="Verdana" w:hAnsi="Verdana" w:cs="Arial"/>
                <w:color w:val="000000"/>
                <w:sz w:val="16"/>
                <w:szCs w:val="16"/>
                <w:lang w:val="lt-LT"/>
              </w:rPr>
              <w:t>. Grup</w:t>
            </w:r>
            <w:r w:rsidRPr="008048D3">
              <w:rPr>
                <w:rFonts w:ascii="Verdana" w:hAnsi="Verdana" w:cs="Arial"/>
                <w:color w:val="000000"/>
                <w:sz w:val="16"/>
                <w:szCs w:val="16"/>
                <w:lang w:val="lt-LT"/>
              </w:rPr>
              <w:t>ės</w:t>
            </w:r>
            <w:r w:rsidR="00631485" w:rsidRPr="008048D3">
              <w:rPr>
                <w:rFonts w:ascii="Verdana" w:hAnsi="Verdana" w:cs="Arial"/>
                <w:color w:val="000000"/>
                <w:sz w:val="16"/>
                <w:szCs w:val="16"/>
                <w:lang w:val="lt-LT"/>
              </w:rPr>
              <w:t xml:space="preserve"> </w:t>
            </w:r>
            <w:r w:rsidRPr="008048D3">
              <w:rPr>
                <w:rFonts w:ascii="Verdana" w:hAnsi="Verdana" w:cs="Arial"/>
                <w:color w:val="000000"/>
                <w:sz w:val="16"/>
                <w:szCs w:val="16"/>
                <w:lang w:val="lt-LT"/>
              </w:rPr>
              <w:t xml:space="preserve">naudojama </w:t>
            </w:r>
            <w:r w:rsidR="00631485" w:rsidRPr="008048D3">
              <w:rPr>
                <w:rFonts w:ascii="Verdana" w:hAnsi="Verdana" w:cs="Arial"/>
                <w:color w:val="000000"/>
                <w:sz w:val="16"/>
                <w:szCs w:val="16"/>
                <w:lang w:val="lt-LT"/>
              </w:rPr>
              <w:t xml:space="preserve">EBITDA </w:t>
            </w:r>
            <w:r w:rsidRPr="008048D3">
              <w:rPr>
                <w:rFonts w:ascii="Verdana" w:hAnsi="Verdana" w:cs="Arial"/>
                <w:color w:val="000000"/>
                <w:sz w:val="16"/>
                <w:szCs w:val="16"/>
                <w:lang w:val="lt-LT"/>
              </w:rPr>
              <w:t xml:space="preserve">sąvoka ir </w:t>
            </w:r>
            <w:r w:rsidR="00631485" w:rsidRPr="008048D3">
              <w:rPr>
                <w:rFonts w:ascii="Verdana" w:hAnsi="Verdana" w:cs="Arial"/>
                <w:color w:val="000000"/>
                <w:sz w:val="16"/>
                <w:szCs w:val="16"/>
                <w:lang w:val="lt-LT"/>
              </w:rPr>
              <w:t xml:space="preserve">EBITDA </w:t>
            </w:r>
            <w:r w:rsidRPr="008048D3">
              <w:rPr>
                <w:rFonts w:ascii="Verdana" w:hAnsi="Verdana" w:cs="Arial"/>
                <w:color w:val="000000"/>
                <w:sz w:val="16"/>
                <w:szCs w:val="16"/>
                <w:lang w:val="lt-LT"/>
              </w:rPr>
              <w:t xml:space="preserve">paskaičiavimo būdas gali skirtis nuo </w:t>
            </w:r>
            <w:r w:rsidR="005E1CC3" w:rsidRPr="008048D3">
              <w:rPr>
                <w:rFonts w:ascii="Verdana" w:hAnsi="Verdana" w:cs="Arial"/>
                <w:color w:val="000000"/>
                <w:sz w:val="16"/>
                <w:szCs w:val="16"/>
                <w:lang w:val="lt-LT"/>
              </w:rPr>
              <w:t xml:space="preserve">šios sąvokos, kurią naudoja </w:t>
            </w:r>
            <w:r w:rsidRPr="008048D3">
              <w:rPr>
                <w:rFonts w:ascii="Verdana" w:hAnsi="Verdana" w:cs="Arial"/>
                <w:color w:val="000000"/>
                <w:sz w:val="16"/>
                <w:szCs w:val="16"/>
                <w:lang w:val="lt-LT"/>
              </w:rPr>
              <w:t>kit</w:t>
            </w:r>
            <w:r w:rsidR="005E1CC3" w:rsidRPr="008048D3">
              <w:rPr>
                <w:rFonts w:ascii="Verdana" w:hAnsi="Verdana" w:cs="Arial"/>
                <w:color w:val="000000"/>
                <w:sz w:val="16"/>
                <w:szCs w:val="16"/>
                <w:lang w:val="lt-LT"/>
              </w:rPr>
              <w:t>os</w:t>
            </w:r>
            <w:r w:rsidRPr="008048D3">
              <w:rPr>
                <w:rFonts w:ascii="Verdana" w:hAnsi="Verdana" w:cs="Arial"/>
                <w:color w:val="000000"/>
                <w:sz w:val="16"/>
                <w:szCs w:val="16"/>
                <w:lang w:val="lt-LT"/>
              </w:rPr>
              <w:t xml:space="preserve"> įmon</w:t>
            </w:r>
            <w:r w:rsidR="005E1CC3" w:rsidRPr="008048D3">
              <w:rPr>
                <w:rFonts w:ascii="Verdana" w:hAnsi="Verdana" w:cs="Arial"/>
                <w:color w:val="000000"/>
                <w:sz w:val="16"/>
                <w:szCs w:val="16"/>
                <w:lang w:val="lt-LT"/>
              </w:rPr>
              <w:t>ės,</w:t>
            </w:r>
            <w:r w:rsidRPr="008048D3">
              <w:rPr>
                <w:rFonts w:ascii="Verdana" w:hAnsi="Verdana" w:cs="Arial"/>
                <w:color w:val="000000"/>
                <w:sz w:val="16"/>
                <w:szCs w:val="16"/>
                <w:lang w:val="lt-LT"/>
              </w:rPr>
              <w:t xml:space="preserve"> ir jos paskaičiavimo būdo</w:t>
            </w:r>
            <w:r w:rsidR="00631485" w:rsidRPr="008048D3">
              <w:rPr>
                <w:rFonts w:ascii="Verdana" w:hAnsi="Verdana" w:cs="Arial"/>
                <w:color w:val="000000"/>
                <w:sz w:val="16"/>
                <w:szCs w:val="16"/>
                <w:lang w:val="lt-LT"/>
              </w:rPr>
              <w:t xml:space="preserve">. </w:t>
            </w:r>
            <w:r w:rsidRPr="008048D3">
              <w:rPr>
                <w:rFonts w:ascii="Verdana" w:hAnsi="Verdana" w:cs="Arial"/>
                <w:color w:val="000000"/>
                <w:sz w:val="16"/>
                <w:szCs w:val="16"/>
                <w:lang w:val="lt-LT"/>
              </w:rPr>
              <w:t xml:space="preserve">Šiame Prospekte pateikiama </w:t>
            </w:r>
            <w:r w:rsidR="00631485" w:rsidRPr="008048D3">
              <w:rPr>
                <w:rFonts w:ascii="Verdana" w:hAnsi="Verdana" w:cs="Arial"/>
                <w:color w:val="000000"/>
                <w:sz w:val="16"/>
                <w:szCs w:val="16"/>
                <w:lang w:val="lt-LT"/>
              </w:rPr>
              <w:t xml:space="preserve">EBITDA </w:t>
            </w:r>
            <w:r w:rsidRPr="008048D3">
              <w:rPr>
                <w:rFonts w:ascii="Verdana" w:hAnsi="Verdana" w:cs="Arial"/>
                <w:color w:val="000000"/>
                <w:sz w:val="16"/>
                <w:szCs w:val="16"/>
                <w:lang w:val="lt-LT"/>
              </w:rPr>
              <w:t>skaičiuojama tuo būdu, kuris nurodytas kai kuriose iš Bendrovės skolinimosi sąlygų</w:t>
            </w:r>
            <w:r w:rsidR="00631485" w:rsidRPr="008048D3">
              <w:rPr>
                <w:rFonts w:ascii="Verdana" w:hAnsi="Verdana" w:cs="Arial"/>
                <w:color w:val="000000"/>
                <w:sz w:val="16"/>
                <w:szCs w:val="16"/>
                <w:lang w:val="lt-LT"/>
              </w:rPr>
              <w:t>.</w:t>
            </w:r>
          </w:p>
          <w:p w14:paraId="2E6E29B1" w14:textId="77777777" w:rsidR="00631485" w:rsidRPr="008048D3" w:rsidRDefault="00631485" w:rsidP="00631485">
            <w:pPr>
              <w:widowControl w:val="0"/>
              <w:jc w:val="both"/>
              <w:rPr>
                <w:rFonts w:ascii="Verdana" w:hAnsi="Verdana"/>
                <w:sz w:val="16"/>
                <w:szCs w:val="16"/>
                <w:lang w:val="lt-LT"/>
              </w:rPr>
            </w:pPr>
          </w:p>
          <w:p w14:paraId="534236E7" w14:textId="59B41242" w:rsidR="00631485" w:rsidRPr="008048D3" w:rsidRDefault="00631485" w:rsidP="00631485">
            <w:pPr>
              <w:widowControl w:val="0"/>
              <w:jc w:val="both"/>
              <w:rPr>
                <w:rFonts w:ascii="Verdana" w:hAnsi="Verdana"/>
                <w:sz w:val="16"/>
                <w:szCs w:val="16"/>
                <w:lang w:val="lt-LT"/>
              </w:rPr>
            </w:pPr>
            <w:r w:rsidRPr="008048D3">
              <w:rPr>
                <w:rFonts w:ascii="Verdana" w:hAnsi="Verdana"/>
                <w:sz w:val="16"/>
                <w:szCs w:val="16"/>
                <w:lang w:val="lt-LT"/>
              </w:rPr>
              <w:t xml:space="preserve">12 </w:t>
            </w:r>
            <w:r w:rsidR="00EE0C53" w:rsidRPr="008048D3">
              <w:rPr>
                <w:rFonts w:ascii="Verdana" w:hAnsi="Verdana"/>
                <w:sz w:val="16"/>
                <w:szCs w:val="16"/>
                <w:lang w:val="lt-LT"/>
              </w:rPr>
              <w:t>mėnesių laikotarpi</w:t>
            </w:r>
            <w:r w:rsidR="00987C3D" w:rsidRPr="008048D3">
              <w:rPr>
                <w:rFonts w:ascii="Verdana" w:hAnsi="Verdana"/>
                <w:sz w:val="16"/>
                <w:szCs w:val="16"/>
                <w:lang w:val="lt-LT"/>
              </w:rPr>
              <w:t>s</w:t>
            </w:r>
            <w:r w:rsidR="00EE0C53" w:rsidRPr="008048D3">
              <w:rPr>
                <w:rFonts w:ascii="Verdana" w:hAnsi="Verdana"/>
                <w:sz w:val="16"/>
                <w:szCs w:val="16"/>
                <w:lang w:val="lt-LT"/>
              </w:rPr>
              <w:t xml:space="preserve"> iki 2018 m. kovo 31 d.</w:t>
            </w:r>
            <w:r w:rsidRPr="008048D3">
              <w:rPr>
                <w:rFonts w:ascii="Verdana" w:hAnsi="Verdana"/>
                <w:sz w:val="16"/>
                <w:szCs w:val="16"/>
                <w:lang w:val="lt-LT"/>
              </w:rPr>
              <w:t xml:space="preserve">: </w:t>
            </w:r>
          </w:p>
          <w:p w14:paraId="2E412053" w14:textId="380DD0F5" w:rsidR="00631485" w:rsidRPr="008048D3" w:rsidRDefault="00631485" w:rsidP="00631485">
            <w:pPr>
              <w:pStyle w:val="ListParagraph"/>
              <w:widowControl w:val="0"/>
              <w:numPr>
                <w:ilvl w:val="0"/>
                <w:numId w:val="70"/>
              </w:numPr>
              <w:ind w:left="549" w:hanging="425"/>
              <w:jc w:val="both"/>
              <w:rPr>
                <w:rFonts w:ascii="Verdana" w:hAnsi="Verdana"/>
                <w:sz w:val="16"/>
                <w:szCs w:val="16"/>
                <w:lang w:val="lt-LT"/>
              </w:rPr>
            </w:pPr>
            <w:r w:rsidRPr="008048D3">
              <w:rPr>
                <w:rFonts w:ascii="Verdana" w:hAnsi="Verdana"/>
                <w:sz w:val="16"/>
                <w:szCs w:val="16"/>
                <w:lang w:val="lt-LT"/>
              </w:rPr>
              <w:t xml:space="preserve">EBITDA </w:t>
            </w:r>
            <w:r w:rsidR="001B5358" w:rsidRPr="008048D3">
              <w:rPr>
                <w:rFonts w:ascii="Verdana" w:hAnsi="Verdana"/>
                <w:sz w:val="16"/>
                <w:szCs w:val="16"/>
                <w:lang w:val="lt-LT"/>
              </w:rPr>
              <w:t xml:space="preserve">už 2018 m. I </w:t>
            </w:r>
            <w:proofErr w:type="spellStart"/>
            <w:r w:rsidR="001B5358" w:rsidRPr="008048D3">
              <w:rPr>
                <w:rFonts w:ascii="Verdana" w:hAnsi="Verdana"/>
                <w:sz w:val="16"/>
                <w:szCs w:val="16"/>
                <w:lang w:val="lt-LT"/>
              </w:rPr>
              <w:t>ketv</w:t>
            </w:r>
            <w:proofErr w:type="spellEnd"/>
            <w:r w:rsidR="001B5358" w:rsidRPr="008048D3">
              <w:rPr>
                <w:rFonts w:ascii="Verdana" w:hAnsi="Verdana"/>
                <w:sz w:val="16"/>
                <w:szCs w:val="16"/>
                <w:lang w:val="lt-LT"/>
              </w:rPr>
              <w:t>.</w:t>
            </w:r>
            <w:r w:rsidRPr="008048D3">
              <w:rPr>
                <w:rFonts w:ascii="Verdana" w:hAnsi="Verdana"/>
                <w:sz w:val="16"/>
                <w:szCs w:val="16"/>
                <w:lang w:val="lt-LT"/>
              </w:rPr>
              <w:t>: P</w:t>
            </w:r>
            <w:r w:rsidR="001B5358" w:rsidRPr="008048D3">
              <w:rPr>
                <w:rFonts w:ascii="Verdana" w:hAnsi="Verdana"/>
                <w:sz w:val="16"/>
                <w:szCs w:val="16"/>
                <w:lang w:val="lt-LT"/>
              </w:rPr>
              <w:t xml:space="preserve">elnas </w:t>
            </w:r>
            <w:r w:rsidRPr="008048D3">
              <w:rPr>
                <w:rFonts w:ascii="Verdana" w:hAnsi="Verdana"/>
                <w:sz w:val="16"/>
                <w:szCs w:val="16"/>
                <w:lang w:val="lt-LT"/>
              </w:rPr>
              <w:t>(</w:t>
            </w:r>
            <w:r w:rsidR="001B5358" w:rsidRPr="008048D3">
              <w:rPr>
                <w:rFonts w:ascii="Verdana" w:hAnsi="Verdana"/>
                <w:sz w:val="16"/>
                <w:szCs w:val="16"/>
                <w:lang w:val="lt-LT"/>
              </w:rPr>
              <w:t>nuostoli</w:t>
            </w:r>
            <w:r w:rsidR="00E9253F" w:rsidRPr="008048D3">
              <w:rPr>
                <w:rFonts w:ascii="Verdana" w:hAnsi="Verdana"/>
                <w:sz w:val="16"/>
                <w:szCs w:val="16"/>
                <w:lang w:val="lt-LT"/>
              </w:rPr>
              <w:t>ai</w:t>
            </w:r>
            <w:r w:rsidRPr="008048D3">
              <w:rPr>
                <w:rFonts w:ascii="Verdana" w:hAnsi="Verdana"/>
                <w:sz w:val="16"/>
                <w:szCs w:val="16"/>
                <w:lang w:val="lt-LT"/>
              </w:rPr>
              <w:t xml:space="preserve">) </w:t>
            </w:r>
            <w:r w:rsidR="001B5358" w:rsidRPr="008048D3">
              <w:rPr>
                <w:rFonts w:ascii="Verdana" w:hAnsi="Verdana"/>
                <w:sz w:val="16"/>
                <w:szCs w:val="16"/>
                <w:lang w:val="lt-LT"/>
              </w:rPr>
              <w:t xml:space="preserve">prieš pelno mokestį </w:t>
            </w:r>
            <w:r w:rsidRPr="008048D3">
              <w:rPr>
                <w:rFonts w:ascii="Verdana" w:hAnsi="Verdana"/>
                <w:sz w:val="16"/>
                <w:szCs w:val="16"/>
                <w:lang w:val="lt-LT"/>
              </w:rPr>
              <w:t xml:space="preserve">625 + </w:t>
            </w:r>
            <w:r w:rsidR="001B5358" w:rsidRPr="008048D3">
              <w:rPr>
                <w:rFonts w:ascii="Verdana" w:hAnsi="Verdana"/>
                <w:sz w:val="16"/>
                <w:szCs w:val="16"/>
                <w:lang w:val="lt-LT"/>
              </w:rPr>
              <w:t xml:space="preserve">Nusidėvėjimo sąnaudos </w:t>
            </w:r>
            <w:r w:rsidRPr="008048D3">
              <w:rPr>
                <w:rFonts w:ascii="Verdana" w:hAnsi="Verdana"/>
                <w:sz w:val="16"/>
                <w:szCs w:val="16"/>
                <w:lang w:val="lt-LT"/>
              </w:rPr>
              <w:t>1</w:t>
            </w:r>
            <w:r w:rsidR="001B5358" w:rsidRPr="008048D3">
              <w:rPr>
                <w:rFonts w:ascii="Verdana" w:hAnsi="Verdana"/>
                <w:sz w:val="16"/>
                <w:szCs w:val="16"/>
                <w:lang w:val="lt-LT"/>
              </w:rPr>
              <w:t xml:space="preserve"> </w:t>
            </w:r>
            <w:r w:rsidRPr="008048D3">
              <w:rPr>
                <w:rFonts w:ascii="Verdana" w:hAnsi="Verdana"/>
                <w:sz w:val="16"/>
                <w:szCs w:val="16"/>
                <w:lang w:val="lt-LT"/>
              </w:rPr>
              <w:t>742 + Amortiza</w:t>
            </w:r>
            <w:r w:rsidR="001B5358" w:rsidRPr="008048D3">
              <w:rPr>
                <w:rFonts w:ascii="Verdana" w:hAnsi="Verdana"/>
                <w:sz w:val="16"/>
                <w:szCs w:val="16"/>
                <w:lang w:val="lt-LT"/>
              </w:rPr>
              <w:t xml:space="preserve">cijos sąnaudos </w:t>
            </w:r>
            <w:r w:rsidRPr="008048D3">
              <w:rPr>
                <w:rFonts w:ascii="Verdana" w:hAnsi="Verdana"/>
                <w:sz w:val="16"/>
                <w:szCs w:val="16"/>
                <w:lang w:val="lt-LT"/>
              </w:rPr>
              <w:t xml:space="preserve">54 - </w:t>
            </w:r>
            <w:r w:rsidR="00987C3D" w:rsidRPr="008048D3">
              <w:rPr>
                <w:rFonts w:ascii="Verdana" w:hAnsi="Verdana"/>
                <w:sz w:val="16"/>
                <w:szCs w:val="16"/>
                <w:lang w:val="lt-LT"/>
              </w:rPr>
              <w:t xml:space="preserve">Nekilnojamojo turto, įrangos ir įrengimų vertės sumažėjimo atstatymas </w:t>
            </w:r>
            <w:r w:rsidRPr="008048D3">
              <w:rPr>
                <w:rFonts w:ascii="Verdana" w:hAnsi="Verdana"/>
                <w:sz w:val="16"/>
                <w:szCs w:val="16"/>
                <w:lang w:val="lt-LT"/>
              </w:rPr>
              <w:t>1</w:t>
            </w:r>
            <w:r w:rsidR="00987C3D" w:rsidRPr="008048D3">
              <w:rPr>
                <w:rFonts w:ascii="Verdana" w:hAnsi="Verdana"/>
                <w:sz w:val="16"/>
                <w:szCs w:val="16"/>
                <w:lang w:val="lt-LT"/>
              </w:rPr>
              <w:t xml:space="preserve"> </w:t>
            </w:r>
            <w:r w:rsidRPr="008048D3">
              <w:rPr>
                <w:rFonts w:ascii="Verdana" w:hAnsi="Verdana"/>
                <w:sz w:val="16"/>
                <w:szCs w:val="16"/>
                <w:lang w:val="lt-LT"/>
              </w:rPr>
              <w:t xml:space="preserve">898 + </w:t>
            </w:r>
            <w:r w:rsidR="00987C3D" w:rsidRPr="008048D3">
              <w:rPr>
                <w:rFonts w:ascii="Verdana" w:hAnsi="Verdana"/>
                <w:sz w:val="16"/>
                <w:szCs w:val="16"/>
                <w:lang w:val="lt-LT"/>
              </w:rPr>
              <w:t xml:space="preserve">Ilgalaikio turto pardavimo </w:t>
            </w:r>
            <w:r w:rsidRPr="008048D3">
              <w:rPr>
                <w:rFonts w:ascii="Verdana" w:hAnsi="Verdana"/>
                <w:sz w:val="16"/>
                <w:szCs w:val="16"/>
                <w:lang w:val="lt-LT"/>
              </w:rPr>
              <w:t>(</w:t>
            </w:r>
            <w:r w:rsidR="00987C3D" w:rsidRPr="008048D3">
              <w:rPr>
                <w:rFonts w:ascii="Verdana" w:hAnsi="Verdana"/>
                <w:sz w:val="16"/>
                <w:szCs w:val="16"/>
                <w:lang w:val="lt-LT"/>
              </w:rPr>
              <w:t>pelnas</w:t>
            </w:r>
            <w:r w:rsidRPr="008048D3">
              <w:rPr>
                <w:rFonts w:ascii="Verdana" w:hAnsi="Verdana"/>
                <w:sz w:val="16"/>
                <w:szCs w:val="16"/>
                <w:lang w:val="lt-LT"/>
              </w:rPr>
              <w:t xml:space="preserve">) </w:t>
            </w:r>
            <w:r w:rsidR="00987C3D" w:rsidRPr="008048D3">
              <w:rPr>
                <w:rFonts w:ascii="Verdana" w:hAnsi="Verdana"/>
                <w:sz w:val="16"/>
                <w:szCs w:val="16"/>
                <w:lang w:val="lt-LT"/>
              </w:rPr>
              <w:t>nuostoli</w:t>
            </w:r>
            <w:r w:rsidR="00E9253F" w:rsidRPr="008048D3">
              <w:rPr>
                <w:rFonts w:ascii="Verdana" w:hAnsi="Verdana"/>
                <w:sz w:val="16"/>
                <w:szCs w:val="16"/>
                <w:lang w:val="lt-LT"/>
              </w:rPr>
              <w:t>ai</w:t>
            </w:r>
            <w:r w:rsidR="00987C3D" w:rsidRPr="008048D3">
              <w:rPr>
                <w:rFonts w:ascii="Verdana" w:hAnsi="Verdana"/>
                <w:sz w:val="16"/>
                <w:szCs w:val="16"/>
                <w:lang w:val="lt-LT"/>
              </w:rPr>
              <w:t xml:space="preserve"> </w:t>
            </w:r>
            <w:r w:rsidRPr="008048D3">
              <w:rPr>
                <w:rFonts w:ascii="Verdana" w:hAnsi="Verdana"/>
                <w:sz w:val="16"/>
                <w:szCs w:val="16"/>
                <w:lang w:val="lt-LT"/>
              </w:rPr>
              <w:t xml:space="preserve">26 + </w:t>
            </w:r>
            <w:r w:rsidR="00987C3D" w:rsidRPr="008048D3">
              <w:rPr>
                <w:rFonts w:ascii="Verdana" w:hAnsi="Verdana"/>
                <w:sz w:val="16"/>
                <w:szCs w:val="16"/>
                <w:lang w:val="lt-LT"/>
              </w:rPr>
              <w:t xml:space="preserve">Atsargų ir biologinio turto nurašymai </w:t>
            </w:r>
            <w:r w:rsidRPr="008048D3">
              <w:rPr>
                <w:rFonts w:ascii="Verdana" w:hAnsi="Verdana"/>
                <w:sz w:val="16"/>
                <w:szCs w:val="16"/>
                <w:lang w:val="lt-LT"/>
              </w:rPr>
              <w:t xml:space="preserve">74 + </w:t>
            </w:r>
            <w:r w:rsidR="00987C3D" w:rsidRPr="008048D3">
              <w:rPr>
                <w:rFonts w:ascii="Verdana" w:hAnsi="Verdana"/>
                <w:sz w:val="16"/>
                <w:szCs w:val="16"/>
                <w:lang w:val="lt-LT"/>
              </w:rPr>
              <w:t xml:space="preserve">Grynosios finansavimo sąnaudos </w:t>
            </w:r>
            <w:r w:rsidRPr="008048D3">
              <w:rPr>
                <w:rFonts w:ascii="Verdana" w:hAnsi="Verdana"/>
                <w:sz w:val="16"/>
                <w:szCs w:val="16"/>
                <w:lang w:val="lt-LT"/>
              </w:rPr>
              <w:t xml:space="preserve">364 – </w:t>
            </w:r>
            <w:r w:rsidR="00987C3D" w:rsidRPr="008048D3">
              <w:rPr>
                <w:rFonts w:ascii="Verdana" w:hAnsi="Verdana"/>
                <w:sz w:val="16"/>
                <w:szCs w:val="16"/>
                <w:lang w:val="lt-LT"/>
              </w:rPr>
              <w:t xml:space="preserve">Pajamomis pripažintos subsidijos dėl turto </w:t>
            </w:r>
            <w:r w:rsidRPr="008048D3">
              <w:rPr>
                <w:rFonts w:ascii="Verdana" w:hAnsi="Verdana"/>
                <w:sz w:val="16"/>
                <w:szCs w:val="16"/>
                <w:lang w:val="lt-LT"/>
              </w:rPr>
              <w:t xml:space="preserve">141 = 846; </w:t>
            </w:r>
          </w:p>
          <w:p w14:paraId="1381D2EB" w14:textId="47326D75" w:rsidR="00631485" w:rsidRPr="008048D3" w:rsidRDefault="00631485" w:rsidP="00631485">
            <w:pPr>
              <w:pStyle w:val="ListParagraph"/>
              <w:widowControl w:val="0"/>
              <w:numPr>
                <w:ilvl w:val="0"/>
                <w:numId w:val="70"/>
              </w:numPr>
              <w:ind w:left="549" w:hanging="425"/>
              <w:jc w:val="both"/>
              <w:rPr>
                <w:rFonts w:ascii="Verdana" w:hAnsi="Verdana"/>
                <w:sz w:val="16"/>
                <w:szCs w:val="16"/>
                <w:lang w:val="lt-LT"/>
              </w:rPr>
            </w:pPr>
            <w:r w:rsidRPr="008048D3">
              <w:rPr>
                <w:rFonts w:ascii="Verdana" w:hAnsi="Verdana"/>
                <w:sz w:val="16"/>
                <w:szCs w:val="16"/>
                <w:lang w:val="lt-LT"/>
              </w:rPr>
              <w:t xml:space="preserve">+ </w:t>
            </w:r>
            <w:r w:rsidR="00987C3D" w:rsidRPr="008048D3">
              <w:rPr>
                <w:rFonts w:ascii="Verdana" w:hAnsi="Verdana"/>
                <w:sz w:val="16"/>
                <w:szCs w:val="16"/>
                <w:lang w:val="lt-LT"/>
              </w:rPr>
              <w:t xml:space="preserve">2017 m. </w:t>
            </w:r>
            <w:r w:rsidRPr="008048D3">
              <w:rPr>
                <w:rFonts w:ascii="Verdana" w:hAnsi="Verdana"/>
                <w:sz w:val="16"/>
                <w:szCs w:val="16"/>
                <w:lang w:val="lt-LT"/>
              </w:rPr>
              <w:t>EBITDA (</w:t>
            </w:r>
            <w:r w:rsidR="00987C3D" w:rsidRPr="008048D3">
              <w:rPr>
                <w:rFonts w:ascii="Verdana" w:hAnsi="Verdana"/>
                <w:sz w:val="16"/>
                <w:szCs w:val="16"/>
                <w:lang w:val="lt-LT"/>
              </w:rPr>
              <w:t>paaiškinta toliau</w:t>
            </w:r>
            <w:r w:rsidRPr="008048D3">
              <w:rPr>
                <w:rFonts w:ascii="Verdana" w:hAnsi="Verdana"/>
                <w:sz w:val="16"/>
                <w:szCs w:val="16"/>
                <w:lang w:val="lt-LT"/>
              </w:rPr>
              <w:t>);</w:t>
            </w:r>
          </w:p>
          <w:p w14:paraId="76852EC6" w14:textId="5B1E626B" w:rsidR="00631485" w:rsidRPr="008048D3" w:rsidRDefault="00631485" w:rsidP="00631485">
            <w:pPr>
              <w:pStyle w:val="ListParagraph"/>
              <w:widowControl w:val="0"/>
              <w:numPr>
                <w:ilvl w:val="0"/>
                <w:numId w:val="70"/>
              </w:numPr>
              <w:spacing w:after="0"/>
              <w:ind w:left="549" w:hanging="425"/>
              <w:jc w:val="both"/>
              <w:rPr>
                <w:rFonts w:ascii="Verdana" w:hAnsi="Verdana"/>
                <w:sz w:val="16"/>
                <w:szCs w:val="16"/>
                <w:lang w:val="lt-LT"/>
              </w:rPr>
            </w:pPr>
            <w:r w:rsidRPr="008048D3">
              <w:rPr>
                <w:rFonts w:ascii="Verdana" w:hAnsi="Verdana"/>
                <w:sz w:val="16"/>
                <w:szCs w:val="16"/>
                <w:lang w:val="lt-LT"/>
              </w:rPr>
              <w:t xml:space="preserve">– EBITDA </w:t>
            </w:r>
            <w:r w:rsidR="00987C3D" w:rsidRPr="008048D3">
              <w:rPr>
                <w:rFonts w:ascii="Verdana" w:hAnsi="Verdana"/>
                <w:sz w:val="16"/>
                <w:szCs w:val="16"/>
                <w:lang w:val="lt-LT"/>
              </w:rPr>
              <w:t xml:space="preserve">už 2017 m. I </w:t>
            </w:r>
            <w:proofErr w:type="spellStart"/>
            <w:r w:rsidR="00987C3D" w:rsidRPr="008048D3">
              <w:rPr>
                <w:rFonts w:ascii="Verdana" w:hAnsi="Verdana"/>
                <w:sz w:val="16"/>
                <w:szCs w:val="16"/>
                <w:lang w:val="lt-LT"/>
              </w:rPr>
              <w:t>ketv</w:t>
            </w:r>
            <w:proofErr w:type="spellEnd"/>
            <w:r w:rsidR="00987C3D" w:rsidRPr="008048D3">
              <w:rPr>
                <w:rFonts w:ascii="Verdana" w:hAnsi="Verdana"/>
                <w:sz w:val="16"/>
                <w:szCs w:val="16"/>
                <w:lang w:val="lt-LT"/>
              </w:rPr>
              <w:t xml:space="preserve">. </w:t>
            </w:r>
            <w:r w:rsidRPr="008048D3">
              <w:rPr>
                <w:rFonts w:ascii="Verdana" w:hAnsi="Verdana"/>
                <w:sz w:val="16"/>
                <w:szCs w:val="16"/>
                <w:lang w:val="lt-LT"/>
              </w:rPr>
              <w:t>(</w:t>
            </w:r>
            <w:r w:rsidR="00987C3D" w:rsidRPr="008048D3">
              <w:rPr>
                <w:rFonts w:ascii="Verdana" w:hAnsi="Verdana"/>
                <w:sz w:val="16"/>
                <w:szCs w:val="16"/>
                <w:lang w:val="lt-LT"/>
              </w:rPr>
              <w:t>paaiškinta toliau</w:t>
            </w:r>
            <w:r w:rsidRPr="008048D3">
              <w:rPr>
                <w:rFonts w:ascii="Verdana" w:hAnsi="Verdana"/>
                <w:sz w:val="16"/>
                <w:szCs w:val="16"/>
                <w:lang w:val="lt-LT"/>
              </w:rPr>
              <w:t>).</w:t>
            </w:r>
          </w:p>
          <w:p w14:paraId="6E6064FA" w14:textId="3EFAB76E" w:rsidR="00631485" w:rsidRPr="008048D3" w:rsidRDefault="00987C3D" w:rsidP="00631485">
            <w:pPr>
              <w:widowControl w:val="0"/>
              <w:jc w:val="both"/>
              <w:rPr>
                <w:rFonts w:ascii="Verdana" w:hAnsi="Verdana"/>
                <w:sz w:val="16"/>
                <w:szCs w:val="16"/>
                <w:lang w:val="lt-LT"/>
              </w:rPr>
            </w:pPr>
            <w:r w:rsidRPr="008048D3">
              <w:rPr>
                <w:rFonts w:ascii="Verdana" w:hAnsi="Verdana"/>
                <w:sz w:val="16"/>
                <w:szCs w:val="16"/>
                <w:lang w:val="lt-LT"/>
              </w:rPr>
              <w:t>12 mėnesių laikotarpis iki 2017 m. kovo 31 d.</w:t>
            </w:r>
            <w:r w:rsidR="00631485" w:rsidRPr="008048D3">
              <w:rPr>
                <w:rFonts w:ascii="Verdana" w:hAnsi="Verdana"/>
                <w:sz w:val="16"/>
                <w:szCs w:val="16"/>
                <w:lang w:val="lt-LT"/>
              </w:rPr>
              <w:t xml:space="preserve">: </w:t>
            </w:r>
          </w:p>
          <w:p w14:paraId="030EBF30" w14:textId="0ABDFAAC" w:rsidR="00631485" w:rsidRPr="008048D3" w:rsidRDefault="00631485" w:rsidP="00631485">
            <w:pPr>
              <w:pStyle w:val="ListParagraph"/>
              <w:widowControl w:val="0"/>
              <w:numPr>
                <w:ilvl w:val="0"/>
                <w:numId w:val="71"/>
              </w:numPr>
              <w:ind w:left="549" w:hanging="425"/>
              <w:jc w:val="both"/>
              <w:rPr>
                <w:rFonts w:ascii="Verdana" w:hAnsi="Verdana"/>
                <w:sz w:val="16"/>
                <w:szCs w:val="16"/>
                <w:lang w:val="lt-LT"/>
              </w:rPr>
            </w:pPr>
            <w:r w:rsidRPr="008048D3">
              <w:rPr>
                <w:rFonts w:ascii="Verdana" w:hAnsi="Verdana"/>
                <w:sz w:val="16"/>
                <w:szCs w:val="16"/>
                <w:lang w:val="lt-LT"/>
              </w:rPr>
              <w:t xml:space="preserve">EBITDA </w:t>
            </w:r>
            <w:r w:rsidR="00E9253F" w:rsidRPr="008048D3">
              <w:rPr>
                <w:rFonts w:ascii="Verdana" w:hAnsi="Verdana"/>
                <w:sz w:val="16"/>
                <w:szCs w:val="16"/>
                <w:lang w:val="lt-LT"/>
              </w:rPr>
              <w:t xml:space="preserve">už 2017 m. I </w:t>
            </w:r>
            <w:proofErr w:type="spellStart"/>
            <w:r w:rsidR="00E9253F" w:rsidRPr="008048D3">
              <w:rPr>
                <w:rFonts w:ascii="Verdana" w:hAnsi="Verdana"/>
                <w:sz w:val="16"/>
                <w:szCs w:val="16"/>
                <w:lang w:val="lt-LT"/>
              </w:rPr>
              <w:t>ketv</w:t>
            </w:r>
            <w:proofErr w:type="spellEnd"/>
            <w:r w:rsidR="00E9253F" w:rsidRPr="008048D3">
              <w:rPr>
                <w:rFonts w:ascii="Verdana" w:hAnsi="Verdana"/>
                <w:sz w:val="16"/>
                <w:szCs w:val="16"/>
                <w:lang w:val="lt-LT"/>
              </w:rPr>
              <w:t>.</w:t>
            </w:r>
            <w:r w:rsidRPr="008048D3">
              <w:rPr>
                <w:rFonts w:ascii="Verdana" w:hAnsi="Verdana"/>
                <w:sz w:val="16"/>
                <w:szCs w:val="16"/>
                <w:lang w:val="lt-LT"/>
              </w:rPr>
              <w:t xml:space="preserve">: </w:t>
            </w:r>
            <w:r w:rsidR="00E9253F" w:rsidRPr="008048D3">
              <w:rPr>
                <w:rFonts w:ascii="Verdana" w:hAnsi="Verdana"/>
                <w:sz w:val="16"/>
                <w:szCs w:val="16"/>
                <w:lang w:val="lt-LT"/>
              </w:rPr>
              <w:t xml:space="preserve">Pelnas (nuostoliai) prieš pelno mokestį </w:t>
            </w:r>
            <w:r w:rsidRPr="008048D3">
              <w:rPr>
                <w:rFonts w:ascii="Verdana" w:hAnsi="Verdana"/>
                <w:sz w:val="16"/>
                <w:szCs w:val="16"/>
                <w:lang w:val="lt-LT"/>
              </w:rPr>
              <w:t xml:space="preserve">17 + </w:t>
            </w:r>
            <w:r w:rsidR="00E9253F" w:rsidRPr="008048D3">
              <w:rPr>
                <w:rFonts w:ascii="Verdana" w:hAnsi="Verdana"/>
                <w:sz w:val="16"/>
                <w:szCs w:val="16"/>
                <w:lang w:val="lt-LT"/>
              </w:rPr>
              <w:t xml:space="preserve">Nusidėvėjimo sąnaudos </w:t>
            </w:r>
            <w:r w:rsidRPr="008048D3">
              <w:rPr>
                <w:rFonts w:ascii="Verdana" w:hAnsi="Verdana"/>
                <w:sz w:val="16"/>
                <w:szCs w:val="16"/>
                <w:lang w:val="lt-LT"/>
              </w:rPr>
              <w:t>1</w:t>
            </w:r>
            <w:r w:rsidR="00E9253F" w:rsidRPr="008048D3">
              <w:rPr>
                <w:rFonts w:ascii="Verdana" w:hAnsi="Verdana"/>
                <w:sz w:val="16"/>
                <w:szCs w:val="16"/>
                <w:lang w:val="lt-LT"/>
              </w:rPr>
              <w:t xml:space="preserve"> </w:t>
            </w:r>
            <w:r w:rsidRPr="008048D3">
              <w:rPr>
                <w:rFonts w:ascii="Verdana" w:hAnsi="Verdana"/>
                <w:sz w:val="16"/>
                <w:szCs w:val="16"/>
                <w:lang w:val="lt-LT"/>
              </w:rPr>
              <w:t xml:space="preserve">532 + </w:t>
            </w:r>
            <w:r w:rsidR="00E9253F" w:rsidRPr="008048D3">
              <w:rPr>
                <w:rFonts w:ascii="Verdana" w:hAnsi="Verdana"/>
                <w:sz w:val="16"/>
                <w:szCs w:val="16"/>
                <w:lang w:val="lt-LT"/>
              </w:rPr>
              <w:t xml:space="preserve">Amortizacijos sąnaudos </w:t>
            </w:r>
            <w:r w:rsidRPr="008048D3">
              <w:rPr>
                <w:rFonts w:ascii="Verdana" w:hAnsi="Verdana"/>
                <w:sz w:val="16"/>
                <w:szCs w:val="16"/>
                <w:lang w:val="lt-LT"/>
              </w:rPr>
              <w:t xml:space="preserve">2 + </w:t>
            </w:r>
            <w:r w:rsidR="00E9253F" w:rsidRPr="008048D3">
              <w:rPr>
                <w:rFonts w:ascii="Verdana" w:hAnsi="Verdana"/>
                <w:sz w:val="16"/>
                <w:szCs w:val="16"/>
                <w:lang w:val="lt-LT"/>
              </w:rPr>
              <w:t xml:space="preserve">Ilgalaikio turto pardavimo (pelnas) nuostoliai </w:t>
            </w:r>
            <w:r w:rsidRPr="008048D3">
              <w:rPr>
                <w:rFonts w:ascii="Verdana" w:hAnsi="Verdana"/>
                <w:sz w:val="16"/>
                <w:szCs w:val="16"/>
                <w:lang w:val="lt-LT"/>
              </w:rPr>
              <w:t xml:space="preserve">43 + </w:t>
            </w:r>
            <w:r w:rsidR="00E9253F" w:rsidRPr="008048D3">
              <w:rPr>
                <w:rFonts w:ascii="Verdana" w:hAnsi="Verdana"/>
                <w:sz w:val="16"/>
                <w:szCs w:val="16"/>
                <w:lang w:val="lt-LT"/>
              </w:rPr>
              <w:t xml:space="preserve">Grynosios finansavimo sąnaudos </w:t>
            </w:r>
            <w:r w:rsidRPr="008048D3">
              <w:rPr>
                <w:rFonts w:ascii="Verdana" w:hAnsi="Verdana"/>
                <w:sz w:val="16"/>
                <w:szCs w:val="16"/>
                <w:lang w:val="lt-LT"/>
              </w:rPr>
              <w:t xml:space="preserve">251 – </w:t>
            </w:r>
            <w:r w:rsidR="00E9253F" w:rsidRPr="008048D3">
              <w:rPr>
                <w:rFonts w:ascii="Verdana" w:hAnsi="Verdana"/>
                <w:sz w:val="16"/>
                <w:szCs w:val="16"/>
                <w:lang w:val="lt-LT"/>
              </w:rPr>
              <w:t xml:space="preserve">Pajamomis pripažintos subsidijos dėl turto </w:t>
            </w:r>
            <w:r w:rsidRPr="008048D3">
              <w:rPr>
                <w:rFonts w:ascii="Verdana" w:hAnsi="Verdana"/>
                <w:sz w:val="16"/>
                <w:szCs w:val="16"/>
                <w:lang w:val="lt-LT"/>
              </w:rPr>
              <w:t>556 = 1</w:t>
            </w:r>
            <w:r w:rsidR="00E9253F" w:rsidRPr="008048D3">
              <w:rPr>
                <w:rFonts w:ascii="Verdana" w:hAnsi="Verdana"/>
                <w:sz w:val="16"/>
                <w:szCs w:val="16"/>
                <w:lang w:val="lt-LT"/>
              </w:rPr>
              <w:t xml:space="preserve"> </w:t>
            </w:r>
            <w:r w:rsidRPr="008048D3">
              <w:rPr>
                <w:rFonts w:ascii="Verdana" w:hAnsi="Verdana"/>
                <w:sz w:val="16"/>
                <w:szCs w:val="16"/>
                <w:lang w:val="lt-LT"/>
              </w:rPr>
              <w:t xml:space="preserve">289; </w:t>
            </w:r>
          </w:p>
          <w:p w14:paraId="67C94B5C" w14:textId="59DACE5C" w:rsidR="00631485" w:rsidRPr="008048D3" w:rsidRDefault="00631485" w:rsidP="00631485">
            <w:pPr>
              <w:pStyle w:val="ListParagraph"/>
              <w:widowControl w:val="0"/>
              <w:numPr>
                <w:ilvl w:val="0"/>
                <w:numId w:val="71"/>
              </w:numPr>
              <w:ind w:left="549" w:hanging="425"/>
              <w:jc w:val="both"/>
              <w:rPr>
                <w:rFonts w:ascii="Verdana" w:hAnsi="Verdana"/>
                <w:sz w:val="16"/>
                <w:szCs w:val="16"/>
                <w:lang w:val="lt-LT"/>
              </w:rPr>
            </w:pPr>
            <w:r w:rsidRPr="008048D3">
              <w:rPr>
                <w:rFonts w:ascii="Verdana" w:hAnsi="Verdana"/>
                <w:sz w:val="16"/>
                <w:szCs w:val="16"/>
                <w:lang w:val="lt-LT"/>
              </w:rPr>
              <w:t xml:space="preserve">+ </w:t>
            </w:r>
            <w:r w:rsidR="00E9253F" w:rsidRPr="008048D3">
              <w:rPr>
                <w:rFonts w:ascii="Verdana" w:hAnsi="Verdana"/>
                <w:sz w:val="16"/>
                <w:szCs w:val="16"/>
                <w:lang w:val="lt-LT"/>
              </w:rPr>
              <w:t xml:space="preserve">2016 m. </w:t>
            </w:r>
            <w:r w:rsidRPr="008048D3">
              <w:rPr>
                <w:rFonts w:ascii="Verdana" w:hAnsi="Verdana"/>
                <w:sz w:val="16"/>
                <w:szCs w:val="16"/>
                <w:lang w:val="lt-LT"/>
              </w:rPr>
              <w:t>EBITDA (</w:t>
            </w:r>
            <w:r w:rsidR="00E9253F" w:rsidRPr="008048D3">
              <w:rPr>
                <w:rFonts w:ascii="Verdana" w:hAnsi="Verdana"/>
                <w:sz w:val="16"/>
                <w:szCs w:val="16"/>
                <w:lang w:val="lt-LT"/>
              </w:rPr>
              <w:t>paaiškinta toliau</w:t>
            </w:r>
            <w:r w:rsidRPr="008048D3">
              <w:rPr>
                <w:rFonts w:ascii="Verdana" w:hAnsi="Verdana"/>
                <w:sz w:val="16"/>
                <w:szCs w:val="16"/>
                <w:lang w:val="lt-LT"/>
              </w:rPr>
              <w:t>);</w:t>
            </w:r>
          </w:p>
          <w:p w14:paraId="305CE7BC" w14:textId="4AE5BEDD" w:rsidR="00631485" w:rsidRPr="008048D3" w:rsidRDefault="00631485" w:rsidP="00631485">
            <w:pPr>
              <w:pStyle w:val="ListParagraph"/>
              <w:widowControl w:val="0"/>
              <w:numPr>
                <w:ilvl w:val="0"/>
                <w:numId w:val="71"/>
              </w:numPr>
              <w:spacing w:after="0"/>
              <w:ind w:left="549" w:hanging="425"/>
              <w:jc w:val="both"/>
              <w:rPr>
                <w:rFonts w:ascii="Verdana" w:hAnsi="Verdana"/>
                <w:sz w:val="16"/>
                <w:szCs w:val="16"/>
                <w:lang w:val="lt-LT"/>
              </w:rPr>
            </w:pPr>
            <w:r w:rsidRPr="008048D3">
              <w:rPr>
                <w:rFonts w:ascii="Verdana" w:hAnsi="Verdana"/>
                <w:sz w:val="16"/>
                <w:szCs w:val="16"/>
                <w:lang w:val="lt-LT"/>
              </w:rPr>
              <w:t xml:space="preserve">– EBITDA </w:t>
            </w:r>
            <w:r w:rsidR="00E9253F" w:rsidRPr="008048D3">
              <w:rPr>
                <w:rFonts w:ascii="Verdana" w:hAnsi="Verdana"/>
                <w:sz w:val="16"/>
                <w:szCs w:val="16"/>
                <w:lang w:val="lt-LT"/>
              </w:rPr>
              <w:t xml:space="preserve">už 2016 m. I </w:t>
            </w:r>
            <w:proofErr w:type="spellStart"/>
            <w:r w:rsidR="00E9253F" w:rsidRPr="008048D3">
              <w:rPr>
                <w:rFonts w:ascii="Verdana" w:hAnsi="Verdana"/>
                <w:sz w:val="16"/>
                <w:szCs w:val="16"/>
                <w:lang w:val="lt-LT"/>
              </w:rPr>
              <w:t>ketv</w:t>
            </w:r>
            <w:proofErr w:type="spellEnd"/>
            <w:r w:rsidR="00E9253F" w:rsidRPr="008048D3">
              <w:rPr>
                <w:rFonts w:ascii="Verdana" w:hAnsi="Verdana"/>
                <w:sz w:val="16"/>
                <w:szCs w:val="16"/>
                <w:lang w:val="lt-LT"/>
              </w:rPr>
              <w:t>.</w:t>
            </w:r>
            <w:r w:rsidRPr="008048D3">
              <w:rPr>
                <w:rFonts w:ascii="Verdana" w:hAnsi="Verdana"/>
                <w:sz w:val="16"/>
                <w:szCs w:val="16"/>
                <w:lang w:val="lt-LT"/>
              </w:rPr>
              <w:t xml:space="preserve">: </w:t>
            </w:r>
            <w:r w:rsidR="001462F8" w:rsidRPr="008048D3">
              <w:rPr>
                <w:rFonts w:ascii="Verdana" w:hAnsi="Verdana"/>
                <w:sz w:val="16"/>
                <w:szCs w:val="16"/>
                <w:lang w:val="lt-LT"/>
              </w:rPr>
              <w:t xml:space="preserve">Pelnas (nuostoliai) prieš pelno mokestį </w:t>
            </w:r>
            <w:r w:rsidRPr="008048D3">
              <w:rPr>
                <w:rFonts w:ascii="Verdana" w:hAnsi="Verdana"/>
                <w:sz w:val="16"/>
                <w:szCs w:val="16"/>
                <w:lang w:val="lt-LT"/>
              </w:rPr>
              <w:t xml:space="preserve">555 + </w:t>
            </w:r>
            <w:r w:rsidR="001462F8" w:rsidRPr="008048D3">
              <w:rPr>
                <w:rFonts w:ascii="Verdana" w:hAnsi="Verdana"/>
                <w:sz w:val="16"/>
                <w:szCs w:val="16"/>
                <w:lang w:val="lt-LT"/>
              </w:rPr>
              <w:t xml:space="preserve">Nusidėvėjimo sąnaudos </w:t>
            </w:r>
            <w:r w:rsidRPr="008048D3">
              <w:rPr>
                <w:rFonts w:ascii="Verdana" w:hAnsi="Verdana"/>
                <w:sz w:val="16"/>
                <w:szCs w:val="16"/>
                <w:lang w:val="lt-LT"/>
              </w:rPr>
              <w:t>1</w:t>
            </w:r>
            <w:r w:rsidR="001462F8" w:rsidRPr="008048D3">
              <w:rPr>
                <w:rFonts w:ascii="Verdana" w:hAnsi="Verdana"/>
                <w:sz w:val="16"/>
                <w:szCs w:val="16"/>
                <w:lang w:val="lt-LT"/>
              </w:rPr>
              <w:t xml:space="preserve"> </w:t>
            </w:r>
            <w:r w:rsidRPr="008048D3">
              <w:rPr>
                <w:rFonts w:ascii="Verdana" w:hAnsi="Verdana"/>
                <w:sz w:val="16"/>
                <w:szCs w:val="16"/>
                <w:lang w:val="lt-LT"/>
              </w:rPr>
              <w:t xml:space="preserve">395 + </w:t>
            </w:r>
            <w:r w:rsidR="001462F8" w:rsidRPr="008048D3">
              <w:rPr>
                <w:rFonts w:ascii="Verdana" w:hAnsi="Verdana"/>
                <w:sz w:val="16"/>
                <w:szCs w:val="16"/>
                <w:lang w:val="lt-LT"/>
              </w:rPr>
              <w:t xml:space="preserve">Amortizacijos sąnaudos </w:t>
            </w:r>
            <w:r w:rsidRPr="008048D3">
              <w:rPr>
                <w:rFonts w:ascii="Verdana" w:hAnsi="Verdana"/>
                <w:sz w:val="16"/>
                <w:szCs w:val="16"/>
                <w:lang w:val="lt-LT"/>
              </w:rPr>
              <w:t xml:space="preserve">34 + </w:t>
            </w:r>
            <w:r w:rsidR="001462F8" w:rsidRPr="008048D3">
              <w:rPr>
                <w:rFonts w:ascii="Verdana" w:hAnsi="Verdana"/>
                <w:sz w:val="16"/>
                <w:szCs w:val="16"/>
                <w:lang w:val="lt-LT"/>
              </w:rPr>
              <w:t xml:space="preserve">Ilgalaikio turto pardavimo (pelnas) nuostoliai </w:t>
            </w:r>
            <w:r w:rsidRPr="008048D3">
              <w:rPr>
                <w:rFonts w:ascii="Verdana" w:hAnsi="Verdana"/>
                <w:sz w:val="16"/>
                <w:szCs w:val="16"/>
                <w:lang w:val="lt-LT"/>
              </w:rPr>
              <w:t xml:space="preserve">41 - </w:t>
            </w:r>
            <w:r w:rsidR="001462F8" w:rsidRPr="008048D3">
              <w:rPr>
                <w:rFonts w:ascii="Verdana" w:hAnsi="Verdana"/>
                <w:sz w:val="16"/>
                <w:szCs w:val="16"/>
                <w:lang w:val="lt-LT"/>
              </w:rPr>
              <w:t xml:space="preserve">Investicinio turto pardavimo (pelnas) nuostoliai </w:t>
            </w:r>
            <w:r w:rsidRPr="008048D3">
              <w:rPr>
                <w:rFonts w:ascii="Verdana" w:hAnsi="Verdana"/>
                <w:sz w:val="16"/>
                <w:szCs w:val="16"/>
                <w:lang w:val="lt-LT"/>
              </w:rPr>
              <w:t xml:space="preserve">22 - </w:t>
            </w:r>
            <w:r w:rsidR="001462F8" w:rsidRPr="008048D3">
              <w:rPr>
                <w:rFonts w:ascii="Verdana" w:hAnsi="Verdana"/>
                <w:sz w:val="16"/>
                <w:szCs w:val="16"/>
                <w:lang w:val="lt-LT"/>
              </w:rPr>
              <w:t xml:space="preserve">Grynosios finansavimo sąnaudos </w:t>
            </w:r>
            <w:r w:rsidRPr="008048D3">
              <w:rPr>
                <w:rFonts w:ascii="Verdana" w:hAnsi="Verdana"/>
                <w:sz w:val="16"/>
                <w:szCs w:val="16"/>
                <w:lang w:val="lt-LT"/>
              </w:rPr>
              <w:t xml:space="preserve">389 + </w:t>
            </w:r>
            <w:r w:rsidR="001462F8" w:rsidRPr="008048D3">
              <w:rPr>
                <w:rFonts w:ascii="Verdana" w:hAnsi="Verdana"/>
                <w:sz w:val="16"/>
                <w:szCs w:val="16"/>
                <w:lang w:val="lt-LT"/>
              </w:rPr>
              <w:t xml:space="preserve">Pajamomis pripažintos subsidijos dėl turto </w:t>
            </w:r>
            <w:r w:rsidRPr="008048D3">
              <w:rPr>
                <w:rFonts w:ascii="Verdana" w:hAnsi="Verdana"/>
                <w:sz w:val="16"/>
                <w:szCs w:val="16"/>
                <w:lang w:val="lt-LT"/>
              </w:rPr>
              <w:t>131 = 1</w:t>
            </w:r>
            <w:r w:rsidR="001462F8" w:rsidRPr="008048D3">
              <w:rPr>
                <w:rFonts w:ascii="Verdana" w:hAnsi="Verdana"/>
                <w:sz w:val="16"/>
                <w:szCs w:val="16"/>
                <w:lang w:val="lt-LT"/>
              </w:rPr>
              <w:t xml:space="preserve"> </w:t>
            </w:r>
            <w:r w:rsidRPr="008048D3">
              <w:rPr>
                <w:rFonts w:ascii="Verdana" w:hAnsi="Verdana"/>
                <w:sz w:val="16"/>
                <w:szCs w:val="16"/>
                <w:lang w:val="lt-LT"/>
              </w:rPr>
              <w:t>745.</w:t>
            </w:r>
          </w:p>
          <w:p w14:paraId="395132DD" w14:textId="77777777" w:rsidR="00631485" w:rsidRPr="008048D3" w:rsidRDefault="00631485" w:rsidP="00873B32">
            <w:pPr>
              <w:widowControl w:val="0"/>
              <w:jc w:val="both"/>
              <w:rPr>
                <w:rFonts w:ascii="Verdana" w:hAnsi="Verdana"/>
                <w:sz w:val="16"/>
                <w:szCs w:val="16"/>
                <w:lang w:val="lt-LT"/>
              </w:rPr>
            </w:pPr>
          </w:p>
          <w:p w14:paraId="3C20EA4C" w14:textId="77777777" w:rsidR="00D32AA1" w:rsidRPr="008048D3" w:rsidRDefault="00873B32" w:rsidP="00873B32">
            <w:pPr>
              <w:widowControl w:val="0"/>
              <w:jc w:val="both"/>
              <w:rPr>
                <w:rFonts w:ascii="Verdana" w:hAnsi="Verdana"/>
                <w:sz w:val="16"/>
                <w:szCs w:val="16"/>
                <w:lang w:val="lt-LT"/>
              </w:rPr>
            </w:pPr>
            <w:r w:rsidRPr="008048D3">
              <w:rPr>
                <w:rFonts w:ascii="Verdana" w:hAnsi="Verdana"/>
                <w:sz w:val="16"/>
                <w:szCs w:val="16"/>
                <w:lang w:val="lt-LT"/>
              </w:rPr>
              <w:t xml:space="preserve">2017 m.: Pelnas (nuostoliai) prieš pelno mokestį 4 793 + </w:t>
            </w:r>
            <w:r w:rsidR="00C07179" w:rsidRPr="008048D3">
              <w:rPr>
                <w:rFonts w:ascii="Verdana" w:hAnsi="Verdana"/>
                <w:sz w:val="16"/>
                <w:szCs w:val="16"/>
                <w:lang w:val="lt-LT"/>
              </w:rPr>
              <w:t xml:space="preserve">Nusidėvėjimo sąnaudos </w:t>
            </w:r>
            <w:r w:rsidRPr="008048D3">
              <w:rPr>
                <w:rFonts w:ascii="Verdana" w:hAnsi="Verdana"/>
                <w:sz w:val="16"/>
                <w:szCs w:val="16"/>
                <w:lang w:val="lt-LT"/>
              </w:rPr>
              <w:t>6</w:t>
            </w:r>
            <w:r w:rsidR="00C07179" w:rsidRPr="008048D3">
              <w:rPr>
                <w:rFonts w:ascii="Verdana" w:hAnsi="Verdana"/>
                <w:sz w:val="16"/>
                <w:szCs w:val="16"/>
                <w:lang w:val="lt-LT"/>
              </w:rPr>
              <w:t xml:space="preserve"> </w:t>
            </w:r>
            <w:r w:rsidRPr="008048D3">
              <w:rPr>
                <w:rFonts w:ascii="Verdana" w:hAnsi="Verdana"/>
                <w:sz w:val="16"/>
                <w:szCs w:val="16"/>
                <w:lang w:val="lt-LT"/>
              </w:rPr>
              <w:t>800 + Amortiza</w:t>
            </w:r>
            <w:r w:rsidR="00C07179" w:rsidRPr="008048D3">
              <w:rPr>
                <w:rFonts w:ascii="Verdana" w:hAnsi="Verdana"/>
                <w:sz w:val="16"/>
                <w:szCs w:val="16"/>
                <w:lang w:val="lt-LT"/>
              </w:rPr>
              <w:t xml:space="preserve">cijos sąnaudos </w:t>
            </w:r>
            <w:r w:rsidRPr="008048D3">
              <w:rPr>
                <w:rFonts w:ascii="Verdana" w:hAnsi="Verdana"/>
                <w:sz w:val="16"/>
                <w:szCs w:val="16"/>
                <w:lang w:val="lt-LT"/>
              </w:rPr>
              <w:t xml:space="preserve">178 + </w:t>
            </w:r>
            <w:bookmarkStart w:id="2" w:name="_Hlk514399978"/>
            <w:r w:rsidR="00B61CC6" w:rsidRPr="008048D3">
              <w:rPr>
                <w:rFonts w:ascii="Verdana" w:hAnsi="Verdana"/>
                <w:sz w:val="16"/>
                <w:szCs w:val="16"/>
                <w:lang w:val="lt-LT"/>
              </w:rPr>
              <w:t xml:space="preserve">Nekilnojamojo turto, įrangos ir įrengimų </w:t>
            </w:r>
            <w:r w:rsidR="00C07179" w:rsidRPr="008048D3">
              <w:rPr>
                <w:rFonts w:ascii="Verdana" w:hAnsi="Verdana"/>
                <w:sz w:val="16"/>
                <w:szCs w:val="16"/>
                <w:lang w:val="lt-LT"/>
              </w:rPr>
              <w:t xml:space="preserve">nurašymai ir vertės sumažėjimas </w:t>
            </w:r>
            <w:bookmarkEnd w:id="2"/>
            <w:r w:rsidRPr="008048D3">
              <w:rPr>
                <w:rFonts w:ascii="Verdana" w:hAnsi="Verdana"/>
                <w:sz w:val="16"/>
                <w:szCs w:val="16"/>
                <w:lang w:val="lt-LT"/>
              </w:rPr>
              <w:t xml:space="preserve">41 – </w:t>
            </w:r>
            <w:r w:rsidR="00C07179" w:rsidRPr="008048D3">
              <w:rPr>
                <w:rFonts w:ascii="Verdana" w:hAnsi="Verdana"/>
                <w:sz w:val="16"/>
                <w:szCs w:val="16"/>
                <w:lang w:val="lt-LT"/>
              </w:rPr>
              <w:t xml:space="preserve">Ilgalaikio turto pardavimo </w:t>
            </w:r>
            <w:r w:rsidRPr="008048D3">
              <w:rPr>
                <w:rFonts w:ascii="Verdana" w:hAnsi="Verdana"/>
                <w:sz w:val="16"/>
                <w:szCs w:val="16"/>
                <w:lang w:val="lt-LT"/>
              </w:rPr>
              <w:t>(</w:t>
            </w:r>
            <w:r w:rsidR="00C07179" w:rsidRPr="008048D3">
              <w:rPr>
                <w:rFonts w:ascii="Verdana" w:hAnsi="Verdana"/>
                <w:sz w:val="16"/>
                <w:szCs w:val="16"/>
                <w:lang w:val="lt-LT"/>
              </w:rPr>
              <w:t>pelnas</w:t>
            </w:r>
            <w:r w:rsidRPr="008048D3">
              <w:rPr>
                <w:rFonts w:ascii="Verdana" w:hAnsi="Verdana"/>
                <w:sz w:val="16"/>
                <w:szCs w:val="16"/>
                <w:lang w:val="lt-LT"/>
              </w:rPr>
              <w:t xml:space="preserve">) </w:t>
            </w:r>
            <w:r w:rsidR="00C07179" w:rsidRPr="008048D3">
              <w:rPr>
                <w:rFonts w:ascii="Verdana" w:hAnsi="Verdana"/>
                <w:sz w:val="16"/>
                <w:szCs w:val="16"/>
                <w:lang w:val="lt-LT"/>
              </w:rPr>
              <w:t xml:space="preserve">nuostoliai </w:t>
            </w:r>
            <w:r w:rsidRPr="008048D3">
              <w:rPr>
                <w:rFonts w:ascii="Verdana" w:hAnsi="Verdana"/>
                <w:sz w:val="16"/>
                <w:szCs w:val="16"/>
                <w:lang w:val="lt-LT"/>
              </w:rPr>
              <w:t xml:space="preserve">2 + </w:t>
            </w:r>
            <w:r w:rsidR="00C07179" w:rsidRPr="008048D3">
              <w:rPr>
                <w:rFonts w:ascii="Verdana" w:hAnsi="Verdana"/>
                <w:sz w:val="16"/>
                <w:szCs w:val="16"/>
                <w:lang w:val="lt-LT"/>
              </w:rPr>
              <w:t xml:space="preserve">Atsargų ir biologinio turto nurašymai </w:t>
            </w:r>
            <w:r w:rsidRPr="008048D3">
              <w:rPr>
                <w:rFonts w:ascii="Verdana" w:hAnsi="Verdana"/>
                <w:sz w:val="16"/>
                <w:szCs w:val="16"/>
                <w:lang w:val="lt-LT"/>
              </w:rPr>
              <w:t>1</w:t>
            </w:r>
            <w:r w:rsidR="00C07179" w:rsidRPr="008048D3">
              <w:rPr>
                <w:rFonts w:ascii="Verdana" w:hAnsi="Verdana"/>
                <w:sz w:val="16"/>
                <w:szCs w:val="16"/>
                <w:lang w:val="lt-LT"/>
              </w:rPr>
              <w:t xml:space="preserve"> </w:t>
            </w:r>
            <w:r w:rsidRPr="008048D3">
              <w:rPr>
                <w:rFonts w:ascii="Verdana" w:hAnsi="Verdana"/>
                <w:sz w:val="16"/>
                <w:szCs w:val="16"/>
                <w:lang w:val="lt-LT"/>
              </w:rPr>
              <w:t xml:space="preserve">102 + </w:t>
            </w:r>
            <w:r w:rsidR="00C07179" w:rsidRPr="008048D3">
              <w:rPr>
                <w:rFonts w:ascii="Verdana" w:hAnsi="Verdana"/>
                <w:sz w:val="16"/>
                <w:szCs w:val="16"/>
                <w:lang w:val="lt-LT"/>
              </w:rPr>
              <w:t xml:space="preserve">Grynosios finansavimo sąnaudos </w:t>
            </w:r>
            <w:r w:rsidRPr="008048D3">
              <w:rPr>
                <w:rFonts w:ascii="Verdana" w:hAnsi="Verdana"/>
                <w:sz w:val="16"/>
                <w:szCs w:val="16"/>
                <w:lang w:val="lt-LT"/>
              </w:rPr>
              <w:t>1</w:t>
            </w:r>
            <w:r w:rsidR="00C07179" w:rsidRPr="008048D3">
              <w:rPr>
                <w:rFonts w:ascii="Verdana" w:hAnsi="Verdana"/>
                <w:sz w:val="16"/>
                <w:szCs w:val="16"/>
                <w:lang w:val="lt-LT"/>
              </w:rPr>
              <w:t xml:space="preserve"> </w:t>
            </w:r>
            <w:r w:rsidRPr="008048D3">
              <w:rPr>
                <w:rFonts w:ascii="Verdana" w:hAnsi="Verdana"/>
                <w:sz w:val="16"/>
                <w:szCs w:val="16"/>
                <w:lang w:val="lt-LT"/>
              </w:rPr>
              <w:t xml:space="preserve">904 – </w:t>
            </w:r>
            <w:r w:rsidR="00C07179" w:rsidRPr="008048D3">
              <w:rPr>
                <w:rFonts w:ascii="Verdana" w:hAnsi="Verdana"/>
                <w:sz w:val="16"/>
                <w:szCs w:val="16"/>
                <w:lang w:val="lt-LT"/>
              </w:rPr>
              <w:t xml:space="preserve">Pajamomis pripažintos subsidijos dėl turto </w:t>
            </w:r>
            <w:r w:rsidRPr="008048D3">
              <w:rPr>
                <w:rFonts w:ascii="Verdana" w:hAnsi="Verdana"/>
                <w:sz w:val="16"/>
                <w:szCs w:val="16"/>
                <w:lang w:val="lt-LT"/>
              </w:rPr>
              <w:t>623 = 14</w:t>
            </w:r>
            <w:r w:rsidR="00C07179" w:rsidRPr="008048D3">
              <w:rPr>
                <w:rFonts w:ascii="Verdana" w:hAnsi="Verdana"/>
                <w:sz w:val="16"/>
                <w:szCs w:val="16"/>
                <w:lang w:val="lt-LT"/>
              </w:rPr>
              <w:t xml:space="preserve"> </w:t>
            </w:r>
            <w:r w:rsidRPr="008048D3">
              <w:rPr>
                <w:rFonts w:ascii="Verdana" w:hAnsi="Verdana"/>
                <w:sz w:val="16"/>
                <w:szCs w:val="16"/>
                <w:lang w:val="lt-LT"/>
              </w:rPr>
              <w:t xml:space="preserve">193. </w:t>
            </w:r>
          </w:p>
          <w:p w14:paraId="6391284B" w14:textId="77777777" w:rsidR="00593CE5" w:rsidRPr="008048D3" w:rsidRDefault="00873B32" w:rsidP="00873B32">
            <w:pPr>
              <w:widowControl w:val="0"/>
              <w:jc w:val="both"/>
              <w:rPr>
                <w:rFonts w:ascii="Verdana" w:hAnsi="Verdana"/>
                <w:sz w:val="16"/>
                <w:szCs w:val="16"/>
                <w:lang w:val="lt-LT"/>
              </w:rPr>
            </w:pPr>
            <w:r w:rsidRPr="008048D3">
              <w:rPr>
                <w:rFonts w:ascii="Verdana" w:hAnsi="Verdana"/>
                <w:sz w:val="16"/>
                <w:szCs w:val="16"/>
                <w:lang w:val="lt-LT"/>
              </w:rPr>
              <w:t>2016</w:t>
            </w:r>
            <w:r w:rsidR="00C07179" w:rsidRPr="008048D3">
              <w:rPr>
                <w:rFonts w:ascii="Verdana" w:hAnsi="Verdana"/>
                <w:sz w:val="16"/>
                <w:szCs w:val="16"/>
                <w:lang w:val="lt-LT"/>
              </w:rPr>
              <w:t xml:space="preserve"> m.</w:t>
            </w:r>
            <w:r w:rsidRPr="008048D3">
              <w:rPr>
                <w:rFonts w:ascii="Verdana" w:hAnsi="Verdana"/>
                <w:sz w:val="16"/>
                <w:szCs w:val="16"/>
                <w:lang w:val="lt-LT"/>
              </w:rPr>
              <w:t xml:space="preserve">: </w:t>
            </w:r>
            <w:r w:rsidR="00C07179" w:rsidRPr="008048D3">
              <w:rPr>
                <w:rFonts w:ascii="Verdana" w:hAnsi="Verdana"/>
                <w:sz w:val="16"/>
                <w:szCs w:val="16"/>
                <w:lang w:val="lt-LT"/>
              </w:rPr>
              <w:t xml:space="preserve">Pelnas (nuostoliai) prieš pelno mokestį </w:t>
            </w:r>
            <w:r w:rsidRPr="008048D3">
              <w:rPr>
                <w:rFonts w:ascii="Verdana" w:hAnsi="Verdana"/>
                <w:sz w:val="16"/>
                <w:szCs w:val="16"/>
                <w:lang w:val="lt-LT"/>
              </w:rPr>
              <w:t>1</w:t>
            </w:r>
            <w:r w:rsidR="00C07179" w:rsidRPr="008048D3">
              <w:rPr>
                <w:rFonts w:ascii="Verdana" w:hAnsi="Verdana"/>
                <w:sz w:val="16"/>
                <w:szCs w:val="16"/>
                <w:lang w:val="lt-LT"/>
              </w:rPr>
              <w:t xml:space="preserve"> </w:t>
            </w:r>
            <w:r w:rsidRPr="008048D3">
              <w:rPr>
                <w:rFonts w:ascii="Verdana" w:hAnsi="Verdana"/>
                <w:sz w:val="16"/>
                <w:szCs w:val="16"/>
                <w:lang w:val="lt-LT"/>
              </w:rPr>
              <w:t xml:space="preserve">792 + </w:t>
            </w:r>
            <w:r w:rsidR="00C07179" w:rsidRPr="008048D3">
              <w:rPr>
                <w:rFonts w:ascii="Verdana" w:hAnsi="Verdana"/>
                <w:sz w:val="16"/>
                <w:szCs w:val="16"/>
                <w:lang w:val="lt-LT"/>
              </w:rPr>
              <w:t xml:space="preserve">Nusidėvėjimo sąnaudos </w:t>
            </w:r>
            <w:r w:rsidRPr="008048D3">
              <w:rPr>
                <w:rFonts w:ascii="Verdana" w:hAnsi="Verdana"/>
                <w:sz w:val="16"/>
                <w:szCs w:val="16"/>
                <w:lang w:val="lt-LT"/>
              </w:rPr>
              <w:t>6</w:t>
            </w:r>
            <w:r w:rsidR="00C07179" w:rsidRPr="008048D3">
              <w:rPr>
                <w:rFonts w:ascii="Verdana" w:hAnsi="Verdana"/>
                <w:sz w:val="16"/>
                <w:szCs w:val="16"/>
                <w:lang w:val="lt-LT"/>
              </w:rPr>
              <w:t xml:space="preserve"> </w:t>
            </w:r>
            <w:r w:rsidRPr="008048D3">
              <w:rPr>
                <w:rFonts w:ascii="Verdana" w:hAnsi="Verdana"/>
                <w:sz w:val="16"/>
                <w:szCs w:val="16"/>
                <w:lang w:val="lt-LT"/>
              </w:rPr>
              <w:t xml:space="preserve">058 + </w:t>
            </w:r>
            <w:r w:rsidR="00C07179" w:rsidRPr="008048D3">
              <w:rPr>
                <w:rFonts w:ascii="Verdana" w:hAnsi="Verdana"/>
                <w:sz w:val="16"/>
                <w:szCs w:val="16"/>
                <w:lang w:val="lt-LT"/>
              </w:rPr>
              <w:t xml:space="preserve">Amortizacijos sąnaudos </w:t>
            </w:r>
            <w:r w:rsidRPr="008048D3">
              <w:rPr>
                <w:rFonts w:ascii="Verdana" w:hAnsi="Verdana"/>
                <w:sz w:val="16"/>
                <w:szCs w:val="16"/>
                <w:lang w:val="lt-LT"/>
              </w:rPr>
              <w:t xml:space="preserve">50 + </w:t>
            </w:r>
            <w:r w:rsidR="00B61CC6" w:rsidRPr="008048D3">
              <w:rPr>
                <w:rFonts w:ascii="Verdana" w:hAnsi="Verdana"/>
                <w:sz w:val="16"/>
                <w:szCs w:val="16"/>
                <w:lang w:val="lt-LT"/>
              </w:rPr>
              <w:t>Nekilnojamojo turto, įrangos ir įrengimų</w:t>
            </w:r>
            <w:r w:rsidR="00C07179" w:rsidRPr="008048D3">
              <w:rPr>
                <w:rFonts w:ascii="Verdana" w:hAnsi="Verdana"/>
                <w:sz w:val="16"/>
                <w:szCs w:val="16"/>
                <w:lang w:val="lt-LT"/>
              </w:rPr>
              <w:t xml:space="preserve"> nurašymai ir vertės sumažėjimas </w:t>
            </w:r>
            <w:r w:rsidRPr="008048D3">
              <w:rPr>
                <w:rFonts w:ascii="Verdana" w:hAnsi="Verdana"/>
                <w:sz w:val="16"/>
                <w:szCs w:val="16"/>
                <w:lang w:val="lt-LT"/>
              </w:rPr>
              <w:t xml:space="preserve">559 + </w:t>
            </w:r>
            <w:r w:rsidR="00C07179" w:rsidRPr="008048D3">
              <w:rPr>
                <w:rFonts w:ascii="Verdana" w:hAnsi="Verdana"/>
                <w:sz w:val="16"/>
                <w:szCs w:val="16"/>
                <w:lang w:val="lt-LT"/>
              </w:rPr>
              <w:t xml:space="preserve">Ilgalaikio turto pardavimo (pelnas) nuostoliai </w:t>
            </w:r>
            <w:r w:rsidRPr="008048D3">
              <w:rPr>
                <w:rFonts w:ascii="Verdana" w:hAnsi="Verdana"/>
                <w:sz w:val="16"/>
                <w:szCs w:val="16"/>
                <w:lang w:val="lt-LT"/>
              </w:rPr>
              <w:t xml:space="preserve">227 + </w:t>
            </w:r>
            <w:r w:rsidR="00C07179" w:rsidRPr="008048D3">
              <w:rPr>
                <w:rFonts w:ascii="Verdana" w:hAnsi="Verdana"/>
                <w:sz w:val="16"/>
                <w:szCs w:val="16"/>
                <w:lang w:val="lt-LT"/>
              </w:rPr>
              <w:t xml:space="preserve">Atsargų ir biologinio turto nurašymai </w:t>
            </w:r>
            <w:r w:rsidRPr="008048D3">
              <w:rPr>
                <w:rFonts w:ascii="Verdana" w:hAnsi="Verdana"/>
                <w:sz w:val="16"/>
                <w:szCs w:val="16"/>
                <w:lang w:val="lt-LT"/>
              </w:rPr>
              <w:t>1</w:t>
            </w:r>
            <w:r w:rsidR="00C07179" w:rsidRPr="008048D3">
              <w:rPr>
                <w:rFonts w:ascii="Verdana" w:hAnsi="Verdana"/>
                <w:sz w:val="16"/>
                <w:szCs w:val="16"/>
                <w:lang w:val="lt-LT"/>
              </w:rPr>
              <w:t xml:space="preserve"> </w:t>
            </w:r>
            <w:r w:rsidRPr="008048D3">
              <w:rPr>
                <w:rFonts w:ascii="Verdana" w:hAnsi="Verdana"/>
                <w:sz w:val="16"/>
                <w:szCs w:val="16"/>
                <w:lang w:val="lt-LT"/>
              </w:rPr>
              <w:t xml:space="preserve">266 + </w:t>
            </w:r>
            <w:r w:rsidR="00C07179" w:rsidRPr="008048D3">
              <w:rPr>
                <w:rFonts w:ascii="Verdana" w:hAnsi="Verdana"/>
                <w:sz w:val="16"/>
                <w:szCs w:val="16"/>
                <w:lang w:val="lt-LT"/>
              </w:rPr>
              <w:t xml:space="preserve">Grynosios finansavimo sąnaudos </w:t>
            </w:r>
            <w:r w:rsidRPr="008048D3">
              <w:rPr>
                <w:rFonts w:ascii="Verdana" w:hAnsi="Verdana"/>
                <w:sz w:val="16"/>
                <w:szCs w:val="16"/>
                <w:lang w:val="lt-LT"/>
              </w:rPr>
              <w:t>2</w:t>
            </w:r>
            <w:r w:rsidR="00C07179" w:rsidRPr="008048D3">
              <w:rPr>
                <w:rFonts w:ascii="Verdana" w:hAnsi="Verdana"/>
                <w:sz w:val="16"/>
                <w:szCs w:val="16"/>
                <w:lang w:val="lt-LT"/>
              </w:rPr>
              <w:t xml:space="preserve"> </w:t>
            </w:r>
            <w:r w:rsidRPr="008048D3">
              <w:rPr>
                <w:rFonts w:ascii="Verdana" w:hAnsi="Verdana"/>
                <w:sz w:val="16"/>
                <w:szCs w:val="16"/>
                <w:lang w:val="lt-LT"/>
              </w:rPr>
              <w:t xml:space="preserve">098 – </w:t>
            </w:r>
            <w:r w:rsidR="00C07179" w:rsidRPr="008048D3">
              <w:rPr>
                <w:rFonts w:ascii="Verdana" w:hAnsi="Verdana"/>
                <w:sz w:val="16"/>
                <w:szCs w:val="16"/>
                <w:lang w:val="lt-LT"/>
              </w:rPr>
              <w:t xml:space="preserve">Su nuolaida įsigyti savi įsipareigojimai </w:t>
            </w:r>
            <w:r w:rsidRPr="008048D3">
              <w:rPr>
                <w:rFonts w:ascii="Verdana" w:hAnsi="Verdana"/>
                <w:sz w:val="16"/>
                <w:szCs w:val="16"/>
                <w:lang w:val="lt-LT"/>
              </w:rPr>
              <w:t xml:space="preserve">184 + </w:t>
            </w:r>
            <w:r w:rsidR="0060254F" w:rsidRPr="008048D3">
              <w:rPr>
                <w:rFonts w:ascii="Verdana" w:hAnsi="Verdana"/>
                <w:sz w:val="16"/>
                <w:szCs w:val="16"/>
                <w:lang w:val="lt-LT"/>
              </w:rPr>
              <w:t xml:space="preserve">Gautinų sumų vertės sumažėjimas </w:t>
            </w:r>
            <w:r w:rsidRPr="008048D3">
              <w:rPr>
                <w:rFonts w:ascii="Verdana" w:hAnsi="Verdana"/>
                <w:sz w:val="16"/>
                <w:szCs w:val="16"/>
                <w:lang w:val="lt-LT"/>
              </w:rPr>
              <w:t xml:space="preserve">10 – </w:t>
            </w:r>
            <w:r w:rsidR="0060254F" w:rsidRPr="008048D3">
              <w:rPr>
                <w:rFonts w:ascii="Verdana" w:hAnsi="Verdana"/>
                <w:sz w:val="16"/>
                <w:szCs w:val="16"/>
                <w:lang w:val="lt-LT"/>
              </w:rPr>
              <w:t xml:space="preserve">Pajamomis pripažintos subsidijos dėl turto </w:t>
            </w:r>
            <w:r w:rsidRPr="008048D3">
              <w:rPr>
                <w:rFonts w:ascii="Verdana" w:hAnsi="Verdana"/>
                <w:sz w:val="16"/>
                <w:szCs w:val="16"/>
                <w:lang w:val="lt-LT"/>
              </w:rPr>
              <w:t>663 = 11</w:t>
            </w:r>
            <w:r w:rsidR="0060254F" w:rsidRPr="008048D3">
              <w:rPr>
                <w:rFonts w:ascii="Verdana" w:hAnsi="Verdana"/>
                <w:sz w:val="16"/>
                <w:szCs w:val="16"/>
                <w:lang w:val="lt-LT"/>
              </w:rPr>
              <w:t xml:space="preserve"> </w:t>
            </w:r>
            <w:r w:rsidRPr="008048D3">
              <w:rPr>
                <w:rFonts w:ascii="Verdana" w:hAnsi="Verdana"/>
                <w:sz w:val="16"/>
                <w:szCs w:val="16"/>
                <w:lang w:val="lt-LT"/>
              </w:rPr>
              <w:t xml:space="preserve">213.  </w:t>
            </w:r>
          </w:p>
          <w:p w14:paraId="5A2AA352" w14:textId="56E32862" w:rsidR="00873B32" w:rsidRPr="008048D3" w:rsidRDefault="00873B32" w:rsidP="00873B32">
            <w:pPr>
              <w:widowControl w:val="0"/>
              <w:jc w:val="both"/>
              <w:rPr>
                <w:rFonts w:ascii="Verdana" w:hAnsi="Verdana"/>
                <w:sz w:val="16"/>
                <w:szCs w:val="16"/>
                <w:lang w:val="lt-LT"/>
              </w:rPr>
            </w:pPr>
            <w:r w:rsidRPr="008048D3">
              <w:rPr>
                <w:rFonts w:ascii="Verdana" w:hAnsi="Verdana"/>
                <w:sz w:val="16"/>
                <w:szCs w:val="16"/>
                <w:lang w:val="lt-LT"/>
              </w:rPr>
              <w:t>2015</w:t>
            </w:r>
            <w:r w:rsidR="0060254F" w:rsidRPr="008048D3">
              <w:rPr>
                <w:rFonts w:ascii="Verdana" w:hAnsi="Verdana"/>
                <w:sz w:val="16"/>
                <w:szCs w:val="16"/>
                <w:lang w:val="lt-LT"/>
              </w:rPr>
              <w:t xml:space="preserve"> m.</w:t>
            </w:r>
            <w:r w:rsidRPr="008048D3">
              <w:rPr>
                <w:rFonts w:ascii="Verdana" w:hAnsi="Verdana"/>
                <w:sz w:val="16"/>
                <w:szCs w:val="16"/>
                <w:lang w:val="lt-LT"/>
              </w:rPr>
              <w:t xml:space="preserve">: </w:t>
            </w:r>
            <w:r w:rsidR="0060254F" w:rsidRPr="008048D3">
              <w:rPr>
                <w:rFonts w:ascii="Verdana" w:hAnsi="Verdana"/>
                <w:sz w:val="16"/>
                <w:szCs w:val="16"/>
                <w:lang w:val="lt-LT"/>
              </w:rPr>
              <w:t xml:space="preserve">Pelnas (nuostoliai) prieš pelno mokestį </w:t>
            </w:r>
            <w:r w:rsidRPr="008048D3">
              <w:rPr>
                <w:rFonts w:ascii="Verdana" w:hAnsi="Verdana"/>
                <w:sz w:val="16"/>
                <w:szCs w:val="16"/>
                <w:lang w:val="lt-LT"/>
              </w:rPr>
              <w:t>6</w:t>
            </w:r>
            <w:r w:rsidR="0060254F" w:rsidRPr="008048D3">
              <w:rPr>
                <w:rFonts w:ascii="Verdana" w:hAnsi="Verdana"/>
                <w:sz w:val="16"/>
                <w:szCs w:val="16"/>
                <w:lang w:val="lt-LT"/>
              </w:rPr>
              <w:t xml:space="preserve"> </w:t>
            </w:r>
            <w:r w:rsidRPr="008048D3">
              <w:rPr>
                <w:rFonts w:ascii="Verdana" w:hAnsi="Verdana"/>
                <w:sz w:val="16"/>
                <w:szCs w:val="16"/>
                <w:lang w:val="lt-LT"/>
              </w:rPr>
              <w:t xml:space="preserve">128 + </w:t>
            </w:r>
            <w:r w:rsidR="0060254F" w:rsidRPr="008048D3">
              <w:rPr>
                <w:rFonts w:ascii="Verdana" w:hAnsi="Verdana"/>
                <w:sz w:val="16"/>
                <w:szCs w:val="16"/>
                <w:lang w:val="lt-LT"/>
              </w:rPr>
              <w:t xml:space="preserve">Nusidėvėjimo sąnaudos </w:t>
            </w:r>
            <w:r w:rsidRPr="008048D3">
              <w:rPr>
                <w:rFonts w:ascii="Verdana" w:hAnsi="Verdana"/>
                <w:sz w:val="16"/>
                <w:szCs w:val="16"/>
                <w:lang w:val="lt-LT"/>
              </w:rPr>
              <w:t>6</w:t>
            </w:r>
            <w:r w:rsidR="0060254F" w:rsidRPr="008048D3">
              <w:rPr>
                <w:rFonts w:ascii="Verdana" w:hAnsi="Verdana"/>
                <w:sz w:val="16"/>
                <w:szCs w:val="16"/>
                <w:lang w:val="lt-LT"/>
              </w:rPr>
              <w:t xml:space="preserve"> </w:t>
            </w:r>
            <w:r w:rsidRPr="008048D3">
              <w:rPr>
                <w:rFonts w:ascii="Verdana" w:hAnsi="Verdana"/>
                <w:sz w:val="16"/>
                <w:szCs w:val="16"/>
                <w:lang w:val="lt-LT"/>
              </w:rPr>
              <w:t xml:space="preserve">177 + </w:t>
            </w:r>
            <w:r w:rsidR="0060254F" w:rsidRPr="008048D3">
              <w:rPr>
                <w:rFonts w:ascii="Verdana" w:hAnsi="Verdana"/>
                <w:sz w:val="16"/>
                <w:szCs w:val="16"/>
                <w:lang w:val="lt-LT"/>
              </w:rPr>
              <w:t xml:space="preserve">Amortizacijos sąnaudos </w:t>
            </w:r>
            <w:r w:rsidRPr="008048D3">
              <w:rPr>
                <w:rFonts w:ascii="Verdana" w:hAnsi="Verdana"/>
                <w:sz w:val="16"/>
                <w:szCs w:val="16"/>
                <w:lang w:val="lt-LT"/>
              </w:rPr>
              <w:t xml:space="preserve">151 + </w:t>
            </w:r>
            <w:r w:rsidR="00B61CC6" w:rsidRPr="008048D3">
              <w:rPr>
                <w:rFonts w:ascii="Verdana" w:hAnsi="Verdana"/>
                <w:sz w:val="16"/>
                <w:szCs w:val="16"/>
                <w:lang w:val="lt-LT"/>
              </w:rPr>
              <w:t>Nekilnojamojo turto, įrangos ir įrengimų</w:t>
            </w:r>
            <w:r w:rsidR="0060254F" w:rsidRPr="008048D3">
              <w:rPr>
                <w:rFonts w:ascii="Verdana" w:hAnsi="Verdana"/>
                <w:sz w:val="16"/>
                <w:szCs w:val="16"/>
                <w:lang w:val="lt-LT"/>
              </w:rPr>
              <w:t xml:space="preserve"> nurašymai ir vertės sumažėjimas </w:t>
            </w:r>
            <w:r w:rsidRPr="008048D3">
              <w:rPr>
                <w:rFonts w:ascii="Verdana" w:hAnsi="Verdana"/>
                <w:sz w:val="16"/>
                <w:szCs w:val="16"/>
                <w:lang w:val="lt-LT"/>
              </w:rPr>
              <w:t xml:space="preserve">640 – </w:t>
            </w:r>
            <w:r w:rsidR="0060254F" w:rsidRPr="008048D3">
              <w:rPr>
                <w:rFonts w:ascii="Verdana" w:hAnsi="Verdana"/>
                <w:sz w:val="16"/>
                <w:szCs w:val="16"/>
                <w:lang w:val="lt-LT"/>
              </w:rPr>
              <w:t xml:space="preserve">Investicinio turto pardavimo </w:t>
            </w:r>
            <w:r w:rsidRPr="008048D3">
              <w:rPr>
                <w:rFonts w:ascii="Verdana" w:hAnsi="Verdana"/>
                <w:sz w:val="16"/>
                <w:szCs w:val="16"/>
                <w:lang w:val="lt-LT"/>
              </w:rPr>
              <w:t>(</w:t>
            </w:r>
            <w:r w:rsidR="0060254F" w:rsidRPr="008048D3">
              <w:rPr>
                <w:rFonts w:ascii="Verdana" w:hAnsi="Verdana"/>
                <w:sz w:val="16"/>
                <w:szCs w:val="16"/>
                <w:lang w:val="lt-LT"/>
              </w:rPr>
              <w:t>pelnas</w:t>
            </w:r>
            <w:r w:rsidRPr="008048D3">
              <w:rPr>
                <w:rFonts w:ascii="Verdana" w:hAnsi="Verdana"/>
                <w:sz w:val="16"/>
                <w:szCs w:val="16"/>
                <w:lang w:val="lt-LT"/>
              </w:rPr>
              <w:t xml:space="preserve">) 174 + </w:t>
            </w:r>
            <w:r w:rsidR="0060254F" w:rsidRPr="008048D3">
              <w:rPr>
                <w:rFonts w:ascii="Verdana" w:hAnsi="Verdana"/>
                <w:sz w:val="16"/>
                <w:szCs w:val="16"/>
                <w:lang w:val="lt-LT"/>
              </w:rPr>
              <w:t xml:space="preserve">Atsargų nurašymai </w:t>
            </w:r>
            <w:r w:rsidRPr="008048D3">
              <w:rPr>
                <w:rFonts w:ascii="Verdana" w:hAnsi="Verdana"/>
                <w:sz w:val="16"/>
                <w:szCs w:val="16"/>
                <w:lang w:val="lt-LT"/>
              </w:rPr>
              <w:t>1</w:t>
            </w:r>
            <w:r w:rsidR="0060254F" w:rsidRPr="008048D3">
              <w:rPr>
                <w:rFonts w:ascii="Verdana" w:hAnsi="Verdana"/>
                <w:sz w:val="16"/>
                <w:szCs w:val="16"/>
                <w:lang w:val="lt-LT"/>
              </w:rPr>
              <w:t xml:space="preserve"> </w:t>
            </w:r>
            <w:r w:rsidRPr="008048D3">
              <w:rPr>
                <w:rFonts w:ascii="Verdana" w:hAnsi="Verdana"/>
                <w:sz w:val="16"/>
                <w:szCs w:val="16"/>
                <w:lang w:val="lt-LT"/>
              </w:rPr>
              <w:t xml:space="preserve">509 + </w:t>
            </w:r>
            <w:r w:rsidR="0060254F" w:rsidRPr="008048D3">
              <w:rPr>
                <w:rFonts w:ascii="Verdana" w:hAnsi="Verdana"/>
                <w:sz w:val="16"/>
                <w:szCs w:val="16"/>
                <w:lang w:val="lt-LT"/>
              </w:rPr>
              <w:t xml:space="preserve">Grynosios finansavimo sąnaudos </w:t>
            </w:r>
            <w:r w:rsidRPr="008048D3">
              <w:rPr>
                <w:rFonts w:ascii="Verdana" w:hAnsi="Verdana"/>
                <w:sz w:val="16"/>
                <w:szCs w:val="16"/>
                <w:lang w:val="lt-LT"/>
              </w:rPr>
              <w:t>2</w:t>
            </w:r>
            <w:r w:rsidR="0060254F" w:rsidRPr="008048D3">
              <w:rPr>
                <w:rFonts w:ascii="Verdana" w:hAnsi="Verdana"/>
                <w:sz w:val="16"/>
                <w:szCs w:val="16"/>
                <w:lang w:val="lt-LT"/>
              </w:rPr>
              <w:t xml:space="preserve"> </w:t>
            </w:r>
            <w:r w:rsidRPr="008048D3">
              <w:rPr>
                <w:rFonts w:ascii="Verdana" w:hAnsi="Verdana"/>
                <w:sz w:val="16"/>
                <w:szCs w:val="16"/>
                <w:lang w:val="lt-LT"/>
              </w:rPr>
              <w:t xml:space="preserve">001 – </w:t>
            </w:r>
            <w:r w:rsidR="0060254F" w:rsidRPr="008048D3">
              <w:rPr>
                <w:rFonts w:ascii="Verdana" w:hAnsi="Verdana"/>
                <w:sz w:val="16"/>
                <w:szCs w:val="16"/>
                <w:lang w:val="lt-LT"/>
              </w:rPr>
              <w:t xml:space="preserve">Su nuolaida įsigyti savi įsipareigojimai </w:t>
            </w:r>
            <w:r w:rsidRPr="008048D3">
              <w:rPr>
                <w:rFonts w:ascii="Verdana" w:hAnsi="Verdana"/>
                <w:sz w:val="16"/>
                <w:szCs w:val="16"/>
                <w:lang w:val="lt-LT"/>
              </w:rPr>
              <w:t xml:space="preserve">10 – </w:t>
            </w:r>
            <w:r w:rsidR="0060254F" w:rsidRPr="008048D3">
              <w:rPr>
                <w:rFonts w:ascii="Verdana" w:hAnsi="Verdana"/>
                <w:sz w:val="16"/>
                <w:szCs w:val="16"/>
                <w:lang w:val="lt-LT"/>
              </w:rPr>
              <w:t xml:space="preserve">Investicinio turto perkainojimas </w:t>
            </w:r>
            <w:r w:rsidRPr="008048D3">
              <w:rPr>
                <w:rFonts w:ascii="Verdana" w:hAnsi="Verdana"/>
                <w:sz w:val="16"/>
                <w:szCs w:val="16"/>
                <w:lang w:val="lt-LT"/>
              </w:rPr>
              <w:t>3</w:t>
            </w:r>
            <w:r w:rsidR="0060254F" w:rsidRPr="008048D3">
              <w:rPr>
                <w:rFonts w:ascii="Verdana" w:hAnsi="Verdana"/>
                <w:sz w:val="16"/>
                <w:szCs w:val="16"/>
                <w:lang w:val="lt-LT"/>
              </w:rPr>
              <w:t xml:space="preserve"> </w:t>
            </w:r>
            <w:r w:rsidRPr="008048D3">
              <w:rPr>
                <w:rFonts w:ascii="Verdana" w:hAnsi="Verdana"/>
                <w:sz w:val="16"/>
                <w:szCs w:val="16"/>
                <w:lang w:val="lt-LT"/>
              </w:rPr>
              <w:t xml:space="preserve">339 + </w:t>
            </w:r>
            <w:r w:rsidR="0060254F" w:rsidRPr="008048D3">
              <w:rPr>
                <w:rFonts w:ascii="Verdana" w:hAnsi="Verdana"/>
                <w:sz w:val="16"/>
                <w:szCs w:val="16"/>
                <w:lang w:val="lt-LT"/>
              </w:rPr>
              <w:t xml:space="preserve">Gautinų sumų vertės sumažėjimas </w:t>
            </w:r>
            <w:r w:rsidRPr="008048D3">
              <w:rPr>
                <w:rFonts w:ascii="Verdana" w:hAnsi="Verdana"/>
                <w:sz w:val="16"/>
                <w:szCs w:val="16"/>
                <w:lang w:val="lt-LT"/>
              </w:rPr>
              <w:t xml:space="preserve">65 – </w:t>
            </w:r>
            <w:r w:rsidR="0060254F" w:rsidRPr="008048D3">
              <w:rPr>
                <w:rFonts w:ascii="Verdana" w:hAnsi="Verdana"/>
                <w:sz w:val="16"/>
                <w:szCs w:val="16"/>
                <w:lang w:val="lt-LT"/>
              </w:rPr>
              <w:t xml:space="preserve">Pajamomis pripažintos subsidijos dėl turto </w:t>
            </w:r>
            <w:r w:rsidRPr="008048D3">
              <w:rPr>
                <w:rFonts w:ascii="Verdana" w:hAnsi="Verdana"/>
                <w:sz w:val="16"/>
                <w:szCs w:val="16"/>
                <w:lang w:val="lt-LT"/>
              </w:rPr>
              <w:t>446 = 12</w:t>
            </w:r>
            <w:r w:rsidR="0060254F" w:rsidRPr="008048D3">
              <w:rPr>
                <w:rFonts w:ascii="Verdana" w:hAnsi="Verdana"/>
                <w:sz w:val="16"/>
                <w:szCs w:val="16"/>
                <w:lang w:val="lt-LT"/>
              </w:rPr>
              <w:t xml:space="preserve"> </w:t>
            </w:r>
            <w:r w:rsidRPr="008048D3">
              <w:rPr>
                <w:rFonts w:ascii="Verdana" w:hAnsi="Verdana"/>
                <w:sz w:val="16"/>
                <w:szCs w:val="16"/>
                <w:lang w:val="lt-LT"/>
              </w:rPr>
              <w:t xml:space="preserve">702.  </w:t>
            </w:r>
          </w:p>
          <w:p w14:paraId="30C868F1" w14:textId="77777777" w:rsidR="00873B32" w:rsidRPr="008048D3" w:rsidRDefault="00873B32" w:rsidP="00873B32">
            <w:pPr>
              <w:widowControl w:val="0"/>
              <w:jc w:val="both"/>
              <w:rPr>
                <w:rFonts w:ascii="Verdana" w:hAnsi="Verdana"/>
                <w:sz w:val="16"/>
                <w:szCs w:val="16"/>
                <w:lang w:val="lt-LT"/>
              </w:rPr>
            </w:pPr>
          </w:p>
          <w:p w14:paraId="085DD48D" w14:textId="77777777" w:rsidR="00593CE5" w:rsidRPr="008048D3" w:rsidRDefault="00873B32" w:rsidP="00873B32">
            <w:pPr>
              <w:widowControl w:val="0"/>
              <w:jc w:val="both"/>
              <w:rPr>
                <w:rFonts w:ascii="Verdana" w:hAnsi="Verdana"/>
                <w:sz w:val="16"/>
                <w:szCs w:val="16"/>
                <w:lang w:val="lt-LT"/>
              </w:rPr>
            </w:pPr>
            <w:r w:rsidRPr="008048D3">
              <w:rPr>
                <w:rFonts w:ascii="Verdana" w:hAnsi="Verdana"/>
                <w:sz w:val="16"/>
                <w:szCs w:val="16"/>
                <w:lang w:val="lt-LT"/>
              </w:rPr>
              <w:t xml:space="preserve">EBITDA** skaičiuojama kaip pelnas neatskaičius palūkanų, pelno mokesčio, nusidėvėjimo ir </w:t>
            </w:r>
            <w:r w:rsidRPr="008048D3">
              <w:rPr>
                <w:rFonts w:ascii="Verdana" w:hAnsi="Verdana"/>
                <w:sz w:val="16"/>
                <w:szCs w:val="16"/>
                <w:lang w:val="lt-LT"/>
              </w:rPr>
              <w:lastRenderedPageBreak/>
              <w:t xml:space="preserve">amortizacijos, papildomai atmetant vienkartinį poveikį grynajam pelnui turinčias sumas. </w:t>
            </w:r>
          </w:p>
          <w:p w14:paraId="7DF10A04" w14:textId="77777777" w:rsidR="00593CE5" w:rsidRPr="008048D3" w:rsidRDefault="00593CE5" w:rsidP="00873B32">
            <w:pPr>
              <w:widowControl w:val="0"/>
              <w:jc w:val="both"/>
              <w:rPr>
                <w:rFonts w:ascii="Verdana" w:hAnsi="Verdana"/>
                <w:sz w:val="16"/>
                <w:szCs w:val="16"/>
                <w:lang w:val="lt-LT"/>
              </w:rPr>
            </w:pPr>
          </w:p>
          <w:p w14:paraId="4487BF53" w14:textId="4F578C76" w:rsidR="00593CE5" w:rsidRPr="008048D3" w:rsidRDefault="00593CE5" w:rsidP="00593CE5">
            <w:pPr>
              <w:widowControl w:val="0"/>
              <w:jc w:val="both"/>
              <w:rPr>
                <w:rFonts w:ascii="Verdana" w:hAnsi="Verdana"/>
                <w:sz w:val="16"/>
                <w:szCs w:val="16"/>
                <w:lang w:val="lt-LT"/>
              </w:rPr>
            </w:pPr>
            <w:r w:rsidRPr="008048D3">
              <w:rPr>
                <w:rFonts w:ascii="Verdana" w:hAnsi="Verdana" w:cs="Calibri"/>
                <w:iCs/>
                <w:sz w:val="16"/>
                <w:szCs w:val="16"/>
                <w:lang w:val="lt-LT"/>
              </w:rPr>
              <w:t>2018 m. kovo 31 d. pasibaigęs 12 mėn. laikotarpis</w:t>
            </w:r>
            <w:r w:rsidRPr="008048D3">
              <w:rPr>
                <w:rFonts w:ascii="Verdana" w:hAnsi="Verdana"/>
                <w:sz w:val="16"/>
                <w:szCs w:val="16"/>
                <w:lang w:val="lt-LT"/>
              </w:rPr>
              <w:t xml:space="preserve">: </w:t>
            </w:r>
          </w:p>
          <w:p w14:paraId="26C3A3B4" w14:textId="385F05C5" w:rsidR="00593CE5" w:rsidRPr="008048D3" w:rsidRDefault="00593CE5" w:rsidP="00593CE5">
            <w:pPr>
              <w:pStyle w:val="ListParagraph"/>
              <w:widowControl w:val="0"/>
              <w:numPr>
                <w:ilvl w:val="0"/>
                <w:numId w:val="72"/>
              </w:numPr>
              <w:ind w:left="549" w:hanging="425"/>
              <w:jc w:val="both"/>
              <w:rPr>
                <w:rFonts w:ascii="Verdana" w:hAnsi="Verdana"/>
                <w:sz w:val="16"/>
                <w:szCs w:val="16"/>
                <w:lang w:val="lt-LT"/>
              </w:rPr>
            </w:pPr>
            <w:r w:rsidRPr="008048D3">
              <w:rPr>
                <w:rFonts w:ascii="Verdana" w:hAnsi="Verdana"/>
                <w:sz w:val="16"/>
                <w:szCs w:val="16"/>
                <w:lang w:val="lt-LT"/>
              </w:rPr>
              <w:t xml:space="preserve">EBITDA už 2018 m. I </w:t>
            </w:r>
            <w:proofErr w:type="spellStart"/>
            <w:r w:rsidRPr="008048D3">
              <w:rPr>
                <w:rFonts w:ascii="Verdana" w:hAnsi="Verdana"/>
                <w:sz w:val="16"/>
                <w:szCs w:val="16"/>
                <w:lang w:val="lt-LT"/>
              </w:rPr>
              <w:t>ketv</w:t>
            </w:r>
            <w:proofErr w:type="spellEnd"/>
            <w:r w:rsidRPr="008048D3">
              <w:rPr>
                <w:rFonts w:ascii="Verdana" w:hAnsi="Verdana"/>
                <w:sz w:val="16"/>
                <w:szCs w:val="16"/>
                <w:lang w:val="lt-LT"/>
              </w:rPr>
              <w:t>.: Pelnas (nuostoliai) prieš pelno mokestį 625 + Finansavimo sąnaudos 329 + Nusidėvėjimo, amortizacijos sąnaudos ir pajamomis pripažintos subsidijos dėl turto 1 619 – (</w:t>
            </w:r>
            <w:proofErr w:type="spellStart"/>
            <w:r w:rsidRPr="008048D3">
              <w:rPr>
                <w:rFonts w:ascii="Verdana" w:hAnsi="Verdana"/>
                <w:sz w:val="16"/>
                <w:szCs w:val="16"/>
                <w:lang w:val="lt-LT"/>
              </w:rPr>
              <w:t>Karakash</w:t>
            </w:r>
            <w:proofErr w:type="spellEnd"/>
            <w:r w:rsidRPr="008048D3">
              <w:rPr>
                <w:rFonts w:ascii="Verdana" w:hAnsi="Verdana"/>
                <w:sz w:val="16"/>
                <w:szCs w:val="16"/>
                <w:lang w:val="lt-LT"/>
              </w:rPr>
              <w:t xml:space="preserve"> </w:t>
            </w:r>
            <w:proofErr w:type="spellStart"/>
            <w:r w:rsidRPr="008048D3">
              <w:rPr>
                <w:rFonts w:ascii="Verdana" w:hAnsi="Verdana"/>
                <w:sz w:val="16"/>
                <w:szCs w:val="16"/>
                <w:lang w:val="lt-LT"/>
              </w:rPr>
              <w:t>agro</w:t>
            </w:r>
            <w:proofErr w:type="spellEnd"/>
            <w:r w:rsidRPr="008048D3">
              <w:rPr>
                <w:rFonts w:ascii="Verdana" w:hAnsi="Verdana"/>
                <w:sz w:val="16"/>
                <w:szCs w:val="16"/>
                <w:lang w:val="lt-LT"/>
              </w:rPr>
              <w:t xml:space="preserve"> OOO ir </w:t>
            </w:r>
            <w:proofErr w:type="spellStart"/>
            <w:r w:rsidRPr="008048D3">
              <w:rPr>
                <w:rFonts w:ascii="Verdana" w:hAnsi="Verdana"/>
                <w:sz w:val="16"/>
                <w:szCs w:val="16"/>
                <w:lang w:val="lt-LT"/>
              </w:rPr>
              <w:t>Karakash</w:t>
            </w:r>
            <w:proofErr w:type="spellEnd"/>
            <w:r w:rsidRPr="008048D3">
              <w:rPr>
                <w:rFonts w:ascii="Verdana" w:hAnsi="Verdana"/>
                <w:sz w:val="16"/>
                <w:szCs w:val="16"/>
                <w:lang w:val="lt-LT"/>
              </w:rPr>
              <w:t xml:space="preserve"> OOO turto vertės sumažėjimo atstatymas 1 898 – </w:t>
            </w:r>
            <w:r w:rsidR="00346730" w:rsidRPr="008048D3">
              <w:rPr>
                <w:rFonts w:ascii="Verdana" w:hAnsi="Verdana"/>
                <w:sz w:val="16"/>
                <w:szCs w:val="16"/>
                <w:lang w:val="lt-LT"/>
              </w:rPr>
              <w:t>UAB „</w:t>
            </w:r>
            <w:proofErr w:type="spellStart"/>
            <w:r w:rsidRPr="008048D3">
              <w:rPr>
                <w:rFonts w:ascii="Verdana" w:hAnsi="Verdana"/>
                <w:sz w:val="16"/>
                <w:szCs w:val="16"/>
                <w:lang w:val="lt-LT"/>
              </w:rPr>
              <w:t>Arginta</w:t>
            </w:r>
            <w:proofErr w:type="spellEnd"/>
            <w:r w:rsidRPr="008048D3">
              <w:rPr>
                <w:rFonts w:ascii="Verdana" w:hAnsi="Verdana"/>
                <w:sz w:val="16"/>
                <w:szCs w:val="16"/>
                <w:lang w:val="lt-LT"/>
              </w:rPr>
              <w:t xml:space="preserve"> </w:t>
            </w:r>
            <w:proofErr w:type="spellStart"/>
            <w:r w:rsidRPr="008048D3">
              <w:rPr>
                <w:rFonts w:ascii="Verdana" w:hAnsi="Verdana"/>
                <w:sz w:val="16"/>
                <w:szCs w:val="16"/>
                <w:lang w:val="lt-LT"/>
              </w:rPr>
              <w:t>Engineering</w:t>
            </w:r>
            <w:proofErr w:type="spellEnd"/>
            <w:r w:rsidR="00346730" w:rsidRPr="008048D3">
              <w:rPr>
                <w:rFonts w:ascii="Verdana" w:hAnsi="Verdana"/>
                <w:sz w:val="16"/>
                <w:szCs w:val="16"/>
                <w:lang w:val="lt-LT"/>
              </w:rPr>
              <w:t>“</w:t>
            </w:r>
            <w:r w:rsidRPr="008048D3">
              <w:rPr>
                <w:rFonts w:ascii="Verdana" w:hAnsi="Verdana"/>
                <w:sz w:val="16"/>
                <w:szCs w:val="16"/>
                <w:lang w:val="lt-LT"/>
              </w:rPr>
              <w:t xml:space="preserve"> </w:t>
            </w:r>
            <w:r w:rsidR="00346730" w:rsidRPr="008048D3">
              <w:rPr>
                <w:rFonts w:ascii="Verdana" w:hAnsi="Verdana"/>
                <w:sz w:val="16"/>
                <w:szCs w:val="16"/>
                <w:lang w:val="lt-LT"/>
              </w:rPr>
              <w:t xml:space="preserve">pirkimo sutarties nutraukimo sąnaudos </w:t>
            </w:r>
            <w:r w:rsidRPr="008048D3">
              <w:rPr>
                <w:rFonts w:ascii="Verdana" w:hAnsi="Verdana"/>
                <w:sz w:val="16"/>
                <w:szCs w:val="16"/>
                <w:lang w:val="lt-LT"/>
              </w:rPr>
              <w:t xml:space="preserve">715 + </w:t>
            </w:r>
            <w:r w:rsidR="00346730" w:rsidRPr="008048D3">
              <w:rPr>
                <w:rFonts w:ascii="Verdana" w:hAnsi="Verdana"/>
                <w:sz w:val="16"/>
                <w:szCs w:val="16"/>
                <w:lang w:val="lt-LT"/>
              </w:rPr>
              <w:t xml:space="preserve">kitos vienkartinės sumos </w:t>
            </w:r>
            <w:r w:rsidRPr="008048D3">
              <w:rPr>
                <w:rFonts w:ascii="Verdana" w:hAnsi="Verdana"/>
                <w:sz w:val="16"/>
                <w:szCs w:val="16"/>
                <w:lang w:val="lt-LT"/>
              </w:rPr>
              <w:t>31) = 1</w:t>
            </w:r>
            <w:r w:rsidR="00346730" w:rsidRPr="008048D3">
              <w:rPr>
                <w:rFonts w:ascii="Verdana" w:hAnsi="Verdana"/>
                <w:sz w:val="16"/>
                <w:szCs w:val="16"/>
                <w:lang w:val="lt-LT"/>
              </w:rPr>
              <w:t xml:space="preserve"> </w:t>
            </w:r>
            <w:r w:rsidRPr="008048D3">
              <w:rPr>
                <w:rFonts w:ascii="Verdana" w:hAnsi="Verdana"/>
                <w:sz w:val="16"/>
                <w:szCs w:val="16"/>
                <w:lang w:val="lt-LT"/>
              </w:rPr>
              <w:t xml:space="preserve">359; </w:t>
            </w:r>
          </w:p>
          <w:p w14:paraId="3A6BEDFB" w14:textId="7B30DCF3" w:rsidR="00593CE5" w:rsidRPr="008048D3" w:rsidRDefault="00593CE5" w:rsidP="00593CE5">
            <w:pPr>
              <w:pStyle w:val="ListParagraph"/>
              <w:widowControl w:val="0"/>
              <w:numPr>
                <w:ilvl w:val="0"/>
                <w:numId w:val="72"/>
              </w:numPr>
              <w:ind w:left="549" w:hanging="425"/>
              <w:jc w:val="both"/>
              <w:rPr>
                <w:rFonts w:ascii="Verdana" w:hAnsi="Verdana"/>
                <w:sz w:val="16"/>
                <w:szCs w:val="16"/>
                <w:lang w:val="lt-LT"/>
              </w:rPr>
            </w:pPr>
            <w:r w:rsidRPr="008048D3">
              <w:rPr>
                <w:rFonts w:ascii="Verdana" w:hAnsi="Verdana"/>
                <w:sz w:val="16"/>
                <w:szCs w:val="16"/>
                <w:lang w:val="lt-LT"/>
              </w:rPr>
              <w:t xml:space="preserve">+ </w:t>
            </w:r>
            <w:r w:rsidR="00346730" w:rsidRPr="008048D3">
              <w:rPr>
                <w:rFonts w:ascii="Verdana" w:hAnsi="Verdana"/>
                <w:sz w:val="16"/>
                <w:szCs w:val="16"/>
                <w:lang w:val="lt-LT"/>
              </w:rPr>
              <w:t>2017 m. EBITDA (paaiškinta toliau</w:t>
            </w:r>
            <w:r w:rsidRPr="008048D3">
              <w:rPr>
                <w:rFonts w:ascii="Verdana" w:hAnsi="Verdana"/>
                <w:sz w:val="16"/>
                <w:szCs w:val="16"/>
                <w:lang w:val="lt-LT"/>
              </w:rPr>
              <w:t>);</w:t>
            </w:r>
          </w:p>
          <w:p w14:paraId="59959BDC" w14:textId="4DF838CD" w:rsidR="00593CE5" w:rsidRPr="008048D3" w:rsidRDefault="00593CE5" w:rsidP="00593CE5">
            <w:pPr>
              <w:pStyle w:val="ListParagraph"/>
              <w:widowControl w:val="0"/>
              <w:numPr>
                <w:ilvl w:val="0"/>
                <w:numId w:val="72"/>
              </w:numPr>
              <w:spacing w:after="0"/>
              <w:ind w:left="549" w:hanging="425"/>
              <w:jc w:val="both"/>
              <w:rPr>
                <w:rFonts w:ascii="Verdana" w:hAnsi="Verdana"/>
                <w:sz w:val="16"/>
                <w:szCs w:val="16"/>
                <w:lang w:val="lt-LT"/>
              </w:rPr>
            </w:pPr>
            <w:r w:rsidRPr="008048D3">
              <w:rPr>
                <w:rFonts w:ascii="Verdana" w:hAnsi="Verdana"/>
                <w:sz w:val="16"/>
                <w:szCs w:val="16"/>
                <w:lang w:val="lt-LT"/>
              </w:rPr>
              <w:t xml:space="preserve">– </w:t>
            </w:r>
            <w:r w:rsidR="00346730" w:rsidRPr="008048D3">
              <w:rPr>
                <w:rFonts w:ascii="Verdana" w:hAnsi="Verdana"/>
                <w:sz w:val="16"/>
                <w:szCs w:val="16"/>
                <w:lang w:val="lt-LT"/>
              </w:rPr>
              <w:t xml:space="preserve">EBITDA už 2017 m. I </w:t>
            </w:r>
            <w:proofErr w:type="spellStart"/>
            <w:r w:rsidR="00346730" w:rsidRPr="008048D3">
              <w:rPr>
                <w:rFonts w:ascii="Verdana" w:hAnsi="Verdana"/>
                <w:sz w:val="16"/>
                <w:szCs w:val="16"/>
                <w:lang w:val="lt-LT"/>
              </w:rPr>
              <w:t>ketv</w:t>
            </w:r>
            <w:proofErr w:type="spellEnd"/>
            <w:r w:rsidR="00346730" w:rsidRPr="008048D3">
              <w:rPr>
                <w:rFonts w:ascii="Verdana" w:hAnsi="Verdana"/>
                <w:sz w:val="16"/>
                <w:szCs w:val="16"/>
                <w:lang w:val="lt-LT"/>
              </w:rPr>
              <w:t>. (paaiškinta toliau</w:t>
            </w:r>
            <w:r w:rsidRPr="008048D3">
              <w:rPr>
                <w:rFonts w:ascii="Verdana" w:hAnsi="Verdana"/>
                <w:sz w:val="16"/>
                <w:szCs w:val="16"/>
                <w:lang w:val="lt-LT"/>
              </w:rPr>
              <w:t>).</w:t>
            </w:r>
          </w:p>
          <w:p w14:paraId="5B89336B" w14:textId="650C3E6E" w:rsidR="00593CE5" w:rsidRPr="008048D3" w:rsidRDefault="00346730" w:rsidP="00593CE5">
            <w:pPr>
              <w:widowControl w:val="0"/>
              <w:jc w:val="both"/>
              <w:rPr>
                <w:rFonts w:ascii="Verdana" w:hAnsi="Verdana"/>
                <w:sz w:val="16"/>
                <w:szCs w:val="16"/>
                <w:lang w:val="lt-LT"/>
              </w:rPr>
            </w:pPr>
            <w:r w:rsidRPr="008048D3">
              <w:rPr>
                <w:rFonts w:ascii="Verdana" w:hAnsi="Verdana" w:cs="Calibri"/>
                <w:iCs/>
                <w:sz w:val="16"/>
                <w:szCs w:val="16"/>
                <w:lang w:val="lt-LT"/>
              </w:rPr>
              <w:t>2017 m. kovo 31 d. pasibaigęs 12 mėn. laikotarpis</w:t>
            </w:r>
            <w:r w:rsidR="00593CE5" w:rsidRPr="008048D3">
              <w:rPr>
                <w:rFonts w:ascii="Verdana" w:hAnsi="Verdana"/>
                <w:sz w:val="16"/>
                <w:szCs w:val="16"/>
                <w:lang w:val="lt-LT"/>
              </w:rPr>
              <w:t xml:space="preserve">: </w:t>
            </w:r>
          </w:p>
          <w:p w14:paraId="39866A4F" w14:textId="61A56A1F" w:rsidR="00593CE5" w:rsidRPr="008048D3" w:rsidRDefault="00593CE5" w:rsidP="00593CE5">
            <w:pPr>
              <w:pStyle w:val="ListParagraph"/>
              <w:widowControl w:val="0"/>
              <w:numPr>
                <w:ilvl w:val="0"/>
                <w:numId w:val="73"/>
              </w:numPr>
              <w:ind w:left="549" w:hanging="454"/>
              <w:jc w:val="both"/>
              <w:rPr>
                <w:rFonts w:ascii="Verdana" w:hAnsi="Verdana"/>
                <w:sz w:val="16"/>
                <w:szCs w:val="16"/>
                <w:lang w:val="lt-LT"/>
              </w:rPr>
            </w:pPr>
            <w:r w:rsidRPr="008048D3">
              <w:rPr>
                <w:rFonts w:ascii="Verdana" w:hAnsi="Verdana"/>
                <w:sz w:val="16"/>
                <w:szCs w:val="16"/>
                <w:lang w:val="lt-LT"/>
              </w:rPr>
              <w:t xml:space="preserve">EBITDA </w:t>
            </w:r>
            <w:r w:rsidR="001226BD" w:rsidRPr="008048D3">
              <w:rPr>
                <w:rFonts w:ascii="Verdana" w:hAnsi="Verdana"/>
                <w:sz w:val="16"/>
                <w:szCs w:val="16"/>
                <w:lang w:val="lt-LT"/>
              </w:rPr>
              <w:t xml:space="preserve">už 2017 m. I </w:t>
            </w:r>
            <w:proofErr w:type="spellStart"/>
            <w:r w:rsidR="001226BD" w:rsidRPr="008048D3">
              <w:rPr>
                <w:rFonts w:ascii="Verdana" w:hAnsi="Verdana"/>
                <w:sz w:val="16"/>
                <w:szCs w:val="16"/>
                <w:lang w:val="lt-LT"/>
              </w:rPr>
              <w:t>ketv</w:t>
            </w:r>
            <w:proofErr w:type="spellEnd"/>
            <w:r w:rsidR="001226BD" w:rsidRPr="008048D3">
              <w:rPr>
                <w:rFonts w:ascii="Verdana" w:hAnsi="Verdana"/>
                <w:sz w:val="16"/>
                <w:szCs w:val="16"/>
                <w:lang w:val="lt-LT"/>
              </w:rPr>
              <w:t xml:space="preserve">.: Pelnas (nuostoliai) prieš pelno mokestį </w:t>
            </w:r>
            <w:r w:rsidRPr="008048D3">
              <w:rPr>
                <w:rFonts w:ascii="Verdana" w:hAnsi="Verdana"/>
                <w:sz w:val="16"/>
                <w:szCs w:val="16"/>
                <w:lang w:val="lt-LT"/>
              </w:rPr>
              <w:t xml:space="preserve">17 + </w:t>
            </w:r>
            <w:r w:rsidR="001226BD" w:rsidRPr="008048D3">
              <w:rPr>
                <w:rFonts w:ascii="Verdana" w:hAnsi="Verdana"/>
                <w:sz w:val="16"/>
                <w:szCs w:val="16"/>
                <w:lang w:val="lt-LT"/>
              </w:rPr>
              <w:t xml:space="preserve">Finansavimo sąnaudos </w:t>
            </w:r>
            <w:r w:rsidRPr="008048D3">
              <w:rPr>
                <w:rFonts w:ascii="Verdana" w:hAnsi="Verdana"/>
                <w:sz w:val="16"/>
                <w:szCs w:val="16"/>
                <w:lang w:val="lt-LT"/>
              </w:rPr>
              <w:t xml:space="preserve">252 + </w:t>
            </w:r>
            <w:r w:rsidR="001226BD" w:rsidRPr="008048D3">
              <w:rPr>
                <w:rFonts w:ascii="Verdana" w:hAnsi="Verdana"/>
                <w:sz w:val="16"/>
                <w:szCs w:val="16"/>
                <w:lang w:val="lt-LT"/>
              </w:rPr>
              <w:t xml:space="preserve">Nusidėvėjimo, amortizacijos sąnaudos ir pajamomis pripažintos subsidijos dėl turto </w:t>
            </w:r>
            <w:r w:rsidRPr="008048D3">
              <w:rPr>
                <w:rFonts w:ascii="Verdana" w:hAnsi="Verdana"/>
                <w:sz w:val="16"/>
                <w:szCs w:val="16"/>
                <w:lang w:val="lt-LT"/>
              </w:rPr>
              <w:t>1</w:t>
            </w:r>
            <w:r w:rsidR="001226BD" w:rsidRPr="008048D3">
              <w:rPr>
                <w:rFonts w:ascii="Verdana" w:hAnsi="Verdana"/>
                <w:sz w:val="16"/>
                <w:szCs w:val="16"/>
                <w:lang w:val="lt-LT"/>
              </w:rPr>
              <w:t xml:space="preserve"> </w:t>
            </w:r>
            <w:r w:rsidRPr="008048D3">
              <w:rPr>
                <w:rFonts w:ascii="Verdana" w:hAnsi="Verdana"/>
                <w:sz w:val="16"/>
                <w:szCs w:val="16"/>
                <w:lang w:val="lt-LT"/>
              </w:rPr>
              <w:t xml:space="preserve">535 + </w:t>
            </w:r>
            <w:r w:rsidR="001226BD" w:rsidRPr="008048D3">
              <w:rPr>
                <w:rFonts w:ascii="Verdana" w:hAnsi="Verdana"/>
                <w:sz w:val="16"/>
                <w:szCs w:val="16"/>
                <w:lang w:val="lt-LT"/>
              </w:rPr>
              <w:t xml:space="preserve">Vienkartinės sumos </w:t>
            </w:r>
            <w:r w:rsidRPr="008048D3">
              <w:rPr>
                <w:rFonts w:ascii="Verdana" w:hAnsi="Verdana"/>
                <w:sz w:val="16"/>
                <w:szCs w:val="16"/>
                <w:lang w:val="lt-LT"/>
              </w:rPr>
              <w:t>10 = 1</w:t>
            </w:r>
            <w:r w:rsidR="001226BD" w:rsidRPr="008048D3">
              <w:rPr>
                <w:rFonts w:ascii="Verdana" w:hAnsi="Verdana"/>
                <w:sz w:val="16"/>
                <w:szCs w:val="16"/>
                <w:lang w:val="lt-LT"/>
              </w:rPr>
              <w:t xml:space="preserve"> </w:t>
            </w:r>
            <w:r w:rsidRPr="008048D3">
              <w:rPr>
                <w:rFonts w:ascii="Verdana" w:hAnsi="Verdana"/>
                <w:sz w:val="16"/>
                <w:szCs w:val="16"/>
                <w:lang w:val="lt-LT"/>
              </w:rPr>
              <w:t xml:space="preserve">814; </w:t>
            </w:r>
          </w:p>
          <w:p w14:paraId="74A93BC0" w14:textId="2679C2E3" w:rsidR="00593CE5" w:rsidRPr="008048D3" w:rsidRDefault="00593CE5" w:rsidP="00593CE5">
            <w:pPr>
              <w:pStyle w:val="ListParagraph"/>
              <w:numPr>
                <w:ilvl w:val="0"/>
                <w:numId w:val="73"/>
              </w:numPr>
              <w:ind w:left="549" w:hanging="454"/>
              <w:rPr>
                <w:rFonts w:ascii="Verdana" w:hAnsi="Verdana"/>
                <w:sz w:val="16"/>
                <w:szCs w:val="16"/>
                <w:lang w:val="lt-LT"/>
              </w:rPr>
            </w:pPr>
            <w:r w:rsidRPr="008048D3">
              <w:rPr>
                <w:rFonts w:ascii="Verdana" w:hAnsi="Verdana"/>
                <w:sz w:val="16"/>
                <w:szCs w:val="16"/>
                <w:lang w:val="lt-LT"/>
              </w:rPr>
              <w:t xml:space="preserve">+ </w:t>
            </w:r>
            <w:r w:rsidR="001226BD" w:rsidRPr="008048D3">
              <w:rPr>
                <w:rFonts w:ascii="Verdana" w:hAnsi="Verdana"/>
                <w:sz w:val="16"/>
                <w:szCs w:val="16"/>
                <w:lang w:val="lt-LT"/>
              </w:rPr>
              <w:t xml:space="preserve">2016 m. </w:t>
            </w:r>
            <w:r w:rsidRPr="008048D3">
              <w:rPr>
                <w:rFonts w:ascii="Verdana" w:hAnsi="Verdana"/>
                <w:sz w:val="16"/>
                <w:szCs w:val="16"/>
                <w:lang w:val="lt-LT"/>
              </w:rPr>
              <w:t>EBITDA (</w:t>
            </w:r>
            <w:r w:rsidR="001226BD" w:rsidRPr="008048D3">
              <w:rPr>
                <w:rFonts w:ascii="Verdana" w:hAnsi="Verdana"/>
                <w:sz w:val="16"/>
                <w:szCs w:val="16"/>
                <w:lang w:val="lt-LT"/>
              </w:rPr>
              <w:t>paaiškinta toliau</w:t>
            </w:r>
            <w:r w:rsidRPr="008048D3">
              <w:rPr>
                <w:rFonts w:ascii="Verdana" w:hAnsi="Verdana"/>
                <w:sz w:val="16"/>
                <w:szCs w:val="16"/>
                <w:lang w:val="lt-LT"/>
              </w:rPr>
              <w:t>);</w:t>
            </w:r>
          </w:p>
          <w:p w14:paraId="1B6639E6" w14:textId="75D0BBD5" w:rsidR="00593CE5" w:rsidRPr="008048D3" w:rsidRDefault="00593CE5" w:rsidP="00593CE5">
            <w:pPr>
              <w:pStyle w:val="ListParagraph"/>
              <w:widowControl w:val="0"/>
              <w:numPr>
                <w:ilvl w:val="0"/>
                <w:numId w:val="73"/>
              </w:numPr>
              <w:spacing w:after="0"/>
              <w:ind w:left="549" w:hanging="454"/>
              <w:jc w:val="both"/>
              <w:rPr>
                <w:rFonts w:ascii="Verdana" w:hAnsi="Verdana"/>
                <w:sz w:val="16"/>
                <w:szCs w:val="16"/>
                <w:lang w:val="lt-LT"/>
              </w:rPr>
            </w:pPr>
            <w:r w:rsidRPr="008048D3">
              <w:rPr>
                <w:rFonts w:ascii="Verdana" w:hAnsi="Verdana"/>
                <w:sz w:val="16"/>
                <w:szCs w:val="16"/>
                <w:lang w:val="lt-LT"/>
              </w:rPr>
              <w:t xml:space="preserve">– EBITDA </w:t>
            </w:r>
            <w:r w:rsidR="001226BD" w:rsidRPr="008048D3">
              <w:rPr>
                <w:rFonts w:ascii="Verdana" w:hAnsi="Verdana"/>
                <w:sz w:val="16"/>
                <w:szCs w:val="16"/>
                <w:lang w:val="lt-LT"/>
              </w:rPr>
              <w:t xml:space="preserve">už 2016 m. I </w:t>
            </w:r>
            <w:proofErr w:type="spellStart"/>
            <w:r w:rsidR="001226BD" w:rsidRPr="008048D3">
              <w:rPr>
                <w:rFonts w:ascii="Verdana" w:hAnsi="Verdana"/>
                <w:sz w:val="16"/>
                <w:szCs w:val="16"/>
                <w:lang w:val="lt-LT"/>
              </w:rPr>
              <w:t>ketv</w:t>
            </w:r>
            <w:proofErr w:type="spellEnd"/>
            <w:r w:rsidR="001226BD" w:rsidRPr="008048D3">
              <w:rPr>
                <w:rFonts w:ascii="Verdana" w:hAnsi="Verdana"/>
                <w:sz w:val="16"/>
                <w:szCs w:val="16"/>
                <w:lang w:val="lt-LT"/>
              </w:rPr>
              <w:t xml:space="preserve">.: Pelnas (nuostoliai) prieš pelno mokestį </w:t>
            </w:r>
            <w:r w:rsidRPr="008048D3">
              <w:rPr>
                <w:rFonts w:ascii="Verdana" w:hAnsi="Verdana"/>
                <w:sz w:val="16"/>
                <w:szCs w:val="16"/>
                <w:lang w:val="lt-LT"/>
              </w:rPr>
              <w:t xml:space="preserve">583 + </w:t>
            </w:r>
            <w:r w:rsidR="001226BD" w:rsidRPr="008048D3">
              <w:rPr>
                <w:rFonts w:ascii="Verdana" w:hAnsi="Verdana"/>
                <w:sz w:val="16"/>
                <w:szCs w:val="16"/>
                <w:lang w:val="lt-LT"/>
              </w:rPr>
              <w:t xml:space="preserve">Finansavimo sąnaudos </w:t>
            </w:r>
            <w:r w:rsidRPr="008048D3">
              <w:rPr>
                <w:rFonts w:ascii="Verdana" w:hAnsi="Verdana"/>
                <w:sz w:val="16"/>
                <w:szCs w:val="16"/>
                <w:lang w:val="lt-LT"/>
              </w:rPr>
              <w:t xml:space="preserve">389 + </w:t>
            </w:r>
            <w:r w:rsidR="001226BD" w:rsidRPr="008048D3">
              <w:rPr>
                <w:rFonts w:ascii="Verdana" w:hAnsi="Verdana"/>
                <w:sz w:val="16"/>
                <w:szCs w:val="16"/>
                <w:lang w:val="lt-LT"/>
              </w:rPr>
              <w:t xml:space="preserve">Nusidėvėjimo, amortizacijos sąnaudos ir pajamomis pripažintos subsidijos dėl turto </w:t>
            </w:r>
            <w:r w:rsidRPr="008048D3">
              <w:rPr>
                <w:rFonts w:ascii="Verdana" w:hAnsi="Verdana"/>
                <w:sz w:val="16"/>
                <w:szCs w:val="16"/>
                <w:lang w:val="lt-LT"/>
              </w:rPr>
              <w:t>1</w:t>
            </w:r>
            <w:r w:rsidR="001226BD" w:rsidRPr="008048D3">
              <w:rPr>
                <w:rFonts w:ascii="Verdana" w:hAnsi="Verdana"/>
                <w:sz w:val="16"/>
                <w:szCs w:val="16"/>
                <w:lang w:val="lt-LT"/>
              </w:rPr>
              <w:t xml:space="preserve"> </w:t>
            </w:r>
            <w:r w:rsidRPr="008048D3">
              <w:rPr>
                <w:rFonts w:ascii="Verdana" w:hAnsi="Verdana"/>
                <w:sz w:val="16"/>
                <w:szCs w:val="16"/>
                <w:lang w:val="lt-LT"/>
              </w:rPr>
              <w:t xml:space="preserve">297 - </w:t>
            </w:r>
            <w:r w:rsidR="001226BD" w:rsidRPr="008048D3">
              <w:rPr>
                <w:rFonts w:ascii="Verdana" w:hAnsi="Verdana"/>
                <w:sz w:val="16"/>
                <w:szCs w:val="16"/>
                <w:lang w:val="lt-LT"/>
              </w:rPr>
              <w:t xml:space="preserve">Vienkartinės sumos </w:t>
            </w:r>
            <w:r w:rsidRPr="008048D3">
              <w:rPr>
                <w:rFonts w:ascii="Verdana" w:hAnsi="Verdana"/>
                <w:sz w:val="16"/>
                <w:szCs w:val="16"/>
                <w:lang w:val="lt-LT"/>
              </w:rPr>
              <w:t>118 = 2</w:t>
            </w:r>
            <w:r w:rsidR="001226BD" w:rsidRPr="008048D3">
              <w:rPr>
                <w:rFonts w:ascii="Verdana" w:hAnsi="Verdana"/>
                <w:sz w:val="16"/>
                <w:szCs w:val="16"/>
                <w:lang w:val="lt-LT"/>
              </w:rPr>
              <w:t xml:space="preserve"> </w:t>
            </w:r>
            <w:r w:rsidRPr="008048D3">
              <w:rPr>
                <w:rFonts w:ascii="Verdana" w:hAnsi="Verdana"/>
                <w:sz w:val="16"/>
                <w:szCs w:val="16"/>
                <w:lang w:val="lt-LT"/>
              </w:rPr>
              <w:t>151.</w:t>
            </w:r>
          </w:p>
          <w:p w14:paraId="40BD0A5D" w14:textId="77777777" w:rsidR="00593CE5" w:rsidRPr="008048D3" w:rsidRDefault="00593CE5" w:rsidP="00873B32">
            <w:pPr>
              <w:widowControl w:val="0"/>
              <w:jc w:val="both"/>
              <w:rPr>
                <w:rFonts w:ascii="Verdana" w:hAnsi="Verdana"/>
                <w:sz w:val="16"/>
                <w:szCs w:val="16"/>
                <w:lang w:val="lt-LT"/>
              </w:rPr>
            </w:pPr>
          </w:p>
          <w:p w14:paraId="42DB73CF" w14:textId="77777777" w:rsidR="001226BD" w:rsidRPr="008048D3" w:rsidRDefault="00873B32" w:rsidP="00873B32">
            <w:pPr>
              <w:widowControl w:val="0"/>
              <w:jc w:val="both"/>
              <w:rPr>
                <w:rFonts w:ascii="Verdana" w:hAnsi="Verdana"/>
                <w:sz w:val="16"/>
                <w:szCs w:val="16"/>
                <w:lang w:val="lt-LT"/>
              </w:rPr>
            </w:pPr>
            <w:r w:rsidRPr="008048D3">
              <w:rPr>
                <w:rFonts w:ascii="Verdana" w:hAnsi="Verdana"/>
                <w:sz w:val="16"/>
                <w:szCs w:val="16"/>
                <w:lang w:val="lt-LT"/>
              </w:rPr>
              <w:t>2017</w:t>
            </w:r>
            <w:r w:rsidR="0060254F" w:rsidRPr="008048D3">
              <w:rPr>
                <w:rFonts w:ascii="Verdana" w:hAnsi="Verdana"/>
                <w:sz w:val="16"/>
                <w:szCs w:val="16"/>
                <w:lang w:val="lt-LT"/>
              </w:rPr>
              <w:t xml:space="preserve"> m.</w:t>
            </w:r>
            <w:r w:rsidRPr="008048D3">
              <w:rPr>
                <w:rFonts w:ascii="Verdana" w:hAnsi="Verdana"/>
                <w:sz w:val="16"/>
                <w:szCs w:val="16"/>
                <w:lang w:val="lt-LT"/>
              </w:rPr>
              <w:t xml:space="preserve">: </w:t>
            </w:r>
            <w:r w:rsidR="0060254F" w:rsidRPr="008048D3">
              <w:rPr>
                <w:rFonts w:ascii="Verdana" w:hAnsi="Verdana"/>
                <w:sz w:val="16"/>
                <w:szCs w:val="16"/>
                <w:lang w:val="lt-LT"/>
              </w:rPr>
              <w:t xml:space="preserve">Pelnas (nuostoliai) prieš pelno mokestį </w:t>
            </w:r>
            <w:r w:rsidRPr="008048D3">
              <w:rPr>
                <w:rFonts w:ascii="Verdana" w:hAnsi="Verdana"/>
                <w:sz w:val="16"/>
                <w:szCs w:val="16"/>
                <w:lang w:val="lt-LT"/>
              </w:rPr>
              <w:t>4</w:t>
            </w:r>
            <w:r w:rsidR="0060254F" w:rsidRPr="008048D3">
              <w:rPr>
                <w:rFonts w:ascii="Verdana" w:hAnsi="Verdana"/>
                <w:sz w:val="16"/>
                <w:szCs w:val="16"/>
                <w:lang w:val="lt-LT"/>
              </w:rPr>
              <w:t xml:space="preserve"> </w:t>
            </w:r>
            <w:r w:rsidRPr="008048D3">
              <w:rPr>
                <w:rFonts w:ascii="Verdana" w:hAnsi="Verdana"/>
                <w:sz w:val="16"/>
                <w:szCs w:val="16"/>
                <w:lang w:val="lt-LT"/>
              </w:rPr>
              <w:t>793 + Finan</w:t>
            </w:r>
            <w:r w:rsidR="0060254F" w:rsidRPr="008048D3">
              <w:rPr>
                <w:rFonts w:ascii="Verdana" w:hAnsi="Verdana"/>
                <w:sz w:val="16"/>
                <w:szCs w:val="16"/>
                <w:lang w:val="lt-LT"/>
              </w:rPr>
              <w:t xml:space="preserve">savimo sąnaudos </w:t>
            </w:r>
            <w:r w:rsidRPr="008048D3">
              <w:rPr>
                <w:rFonts w:ascii="Verdana" w:hAnsi="Verdana"/>
                <w:sz w:val="16"/>
                <w:szCs w:val="16"/>
                <w:lang w:val="lt-LT"/>
              </w:rPr>
              <w:t>1</w:t>
            </w:r>
            <w:r w:rsidR="0060254F" w:rsidRPr="008048D3">
              <w:rPr>
                <w:rFonts w:ascii="Verdana" w:hAnsi="Verdana"/>
                <w:sz w:val="16"/>
                <w:szCs w:val="16"/>
                <w:lang w:val="lt-LT"/>
              </w:rPr>
              <w:t xml:space="preserve"> </w:t>
            </w:r>
            <w:r w:rsidRPr="008048D3">
              <w:rPr>
                <w:rFonts w:ascii="Verdana" w:hAnsi="Verdana"/>
                <w:sz w:val="16"/>
                <w:szCs w:val="16"/>
                <w:lang w:val="lt-LT"/>
              </w:rPr>
              <w:t xml:space="preserve">904 + </w:t>
            </w:r>
            <w:r w:rsidR="0060254F" w:rsidRPr="008048D3">
              <w:rPr>
                <w:rFonts w:ascii="Verdana" w:hAnsi="Verdana"/>
                <w:sz w:val="16"/>
                <w:szCs w:val="16"/>
                <w:lang w:val="lt-LT"/>
              </w:rPr>
              <w:t xml:space="preserve">Nusidėvėjimo sąnaudos </w:t>
            </w:r>
            <w:r w:rsidRPr="008048D3">
              <w:rPr>
                <w:rFonts w:ascii="Verdana" w:hAnsi="Verdana"/>
                <w:sz w:val="16"/>
                <w:szCs w:val="16"/>
                <w:lang w:val="lt-LT"/>
              </w:rPr>
              <w:t>6</w:t>
            </w:r>
            <w:r w:rsidR="0060254F" w:rsidRPr="008048D3">
              <w:rPr>
                <w:rFonts w:ascii="Verdana" w:hAnsi="Verdana"/>
                <w:sz w:val="16"/>
                <w:szCs w:val="16"/>
                <w:lang w:val="lt-LT"/>
              </w:rPr>
              <w:t xml:space="preserve"> </w:t>
            </w:r>
            <w:r w:rsidRPr="008048D3">
              <w:rPr>
                <w:rFonts w:ascii="Verdana" w:hAnsi="Verdana"/>
                <w:sz w:val="16"/>
                <w:szCs w:val="16"/>
                <w:lang w:val="lt-LT"/>
              </w:rPr>
              <w:t xml:space="preserve">800 + </w:t>
            </w:r>
            <w:r w:rsidR="0060254F" w:rsidRPr="008048D3">
              <w:rPr>
                <w:rFonts w:ascii="Verdana" w:hAnsi="Verdana"/>
                <w:sz w:val="16"/>
                <w:szCs w:val="16"/>
                <w:lang w:val="lt-LT"/>
              </w:rPr>
              <w:t xml:space="preserve">Amortizacijos sąnaudos </w:t>
            </w:r>
            <w:r w:rsidRPr="008048D3">
              <w:rPr>
                <w:rFonts w:ascii="Verdana" w:hAnsi="Verdana"/>
                <w:sz w:val="16"/>
                <w:szCs w:val="16"/>
                <w:lang w:val="lt-LT"/>
              </w:rPr>
              <w:t xml:space="preserve">178 – </w:t>
            </w:r>
            <w:r w:rsidR="0060254F" w:rsidRPr="008048D3">
              <w:rPr>
                <w:rFonts w:ascii="Verdana" w:hAnsi="Verdana"/>
                <w:sz w:val="16"/>
                <w:szCs w:val="16"/>
                <w:lang w:val="lt-LT"/>
              </w:rPr>
              <w:t xml:space="preserve">Pajamomis pripažintos subsidijos dėl turto </w:t>
            </w:r>
            <w:r w:rsidRPr="008048D3">
              <w:rPr>
                <w:rFonts w:ascii="Verdana" w:hAnsi="Verdana"/>
                <w:sz w:val="16"/>
                <w:szCs w:val="16"/>
                <w:lang w:val="lt-LT"/>
              </w:rPr>
              <w:t xml:space="preserve">623 + </w:t>
            </w:r>
            <w:r w:rsidR="0060254F" w:rsidRPr="008048D3">
              <w:rPr>
                <w:rFonts w:ascii="Verdana" w:hAnsi="Verdana"/>
                <w:sz w:val="16"/>
                <w:szCs w:val="16"/>
                <w:lang w:val="lt-LT"/>
              </w:rPr>
              <w:t xml:space="preserve">Vienkartinės sumos </w:t>
            </w:r>
            <w:r w:rsidRPr="008048D3">
              <w:rPr>
                <w:rFonts w:ascii="Verdana" w:hAnsi="Verdana"/>
                <w:sz w:val="16"/>
                <w:szCs w:val="16"/>
                <w:lang w:val="lt-LT"/>
              </w:rPr>
              <w:t>126 = 13</w:t>
            </w:r>
            <w:r w:rsidR="0060254F" w:rsidRPr="008048D3">
              <w:rPr>
                <w:rFonts w:ascii="Verdana" w:hAnsi="Verdana"/>
                <w:sz w:val="16"/>
                <w:szCs w:val="16"/>
                <w:lang w:val="lt-LT"/>
              </w:rPr>
              <w:t xml:space="preserve"> </w:t>
            </w:r>
            <w:r w:rsidRPr="008048D3">
              <w:rPr>
                <w:rFonts w:ascii="Verdana" w:hAnsi="Verdana"/>
                <w:sz w:val="16"/>
                <w:szCs w:val="16"/>
                <w:lang w:val="lt-LT"/>
              </w:rPr>
              <w:t xml:space="preserve">178. </w:t>
            </w:r>
          </w:p>
          <w:p w14:paraId="4E71A69A" w14:textId="77777777" w:rsidR="001226BD" w:rsidRPr="008048D3" w:rsidRDefault="00873B32" w:rsidP="00873B32">
            <w:pPr>
              <w:widowControl w:val="0"/>
              <w:jc w:val="both"/>
              <w:rPr>
                <w:rFonts w:ascii="Verdana" w:hAnsi="Verdana"/>
                <w:sz w:val="16"/>
                <w:szCs w:val="16"/>
                <w:lang w:val="lt-LT"/>
              </w:rPr>
            </w:pPr>
            <w:r w:rsidRPr="008048D3">
              <w:rPr>
                <w:rFonts w:ascii="Verdana" w:hAnsi="Verdana"/>
                <w:sz w:val="16"/>
                <w:szCs w:val="16"/>
                <w:lang w:val="lt-LT"/>
              </w:rPr>
              <w:t>2016</w:t>
            </w:r>
            <w:r w:rsidR="0060254F" w:rsidRPr="008048D3">
              <w:rPr>
                <w:rFonts w:ascii="Verdana" w:hAnsi="Verdana"/>
                <w:sz w:val="16"/>
                <w:szCs w:val="16"/>
                <w:lang w:val="lt-LT"/>
              </w:rPr>
              <w:t xml:space="preserve"> m.</w:t>
            </w:r>
            <w:r w:rsidRPr="008048D3">
              <w:rPr>
                <w:rFonts w:ascii="Verdana" w:hAnsi="Verdana"/>
                <w:sz w:val="16"/>
                <w:szCs w:val="16"/>
                <w:lang w:val="lt-LT"/>
              </w:rPr>
              <w:t xml:space="preserve">: </w:t>
            </w:r>
            <w:r w:rsidR="0060254F" w:rsidRPr="008048D3">
              <w:rPr>
                <w:rFonts w:ascii="Verdana" w:hAnsi="Verdana"/>
                <w:sz w:val="16"/>
                <w:szCs w:val="16"/>
                <w:lang w:val="lt-LT"/>
              </w:rPr>
              <w:t xml:space="preserve">Pelnas (nuostoliai) prieš pelno mokestį </w:t>
            </w:r>
            <w:r w:rsidRPr="008048D3">
              <w:rPr>
                <w:rFonts w:ascii="Verdana" w:hAnsi="Verdana"/>
                <w:sz w:val="16"/>
                <w:szCs w:val="16"/>
                <w:lang w:val="lt-LT"/>
              </w:rPr>
              <w:t>1</w:t>
            </w:r>
            <w:r w:rsidR="0060254F" w:rsidRPr="008048D3">
              <w:rPr>
                <w:rFonts w:ascii="Verdana" w:hAnsi="Verdana"/>
                <w:sz w:val="16"/>
                <w:szCs w:val="16"/>
                <w:lang w:val="lt-LT"/>
              </w:rPr>
              <w:t xml:space="preserve"> </w:t>
            </w:r>
            <w:r w:rsidRPr="008048D3">
              <w:rPr>
                <w:rFonts w:ascii="Verdana" w:hAnsi="Verdana"/>
                <w:sz w:val="16"/>
                <w:szCs w:val="16"/>
                <w:lang w:val="lt-LT"/>
              </w:rPr>
              <w:t xml:space="preserve">792 + </w:t>
            </w:r>
            <w:r w:rsidR="0060254F" w:rsidRPr="008048D3">
              <w:rPr>
                <w:rFonts w:ascii="Verdana" w:hAnsi="Verdana"/>
                <w:sz w:val="16"/>
                <w:szCs w:val="16"/>
                <w:lang w:val="lt-LT"/>
              </w:rPr>
              <w:t xml:space="preserve">Finansavimo sąnaudos </w:t>
            </w:r>
            <w:r w:rsidRPr="008048D3">
              <w:rPr>
                <w:rFonts w:ascii="Verdana" w:hAnsi="Verdana"/>
                <w:sz w:val="16"/>
                <w:szCs w:val="16"/>
                <w:lang w:val="lt-LT"/>
              </w:rPr>
              <w:t>2</w:t>
            </w:r>
            <w:r w:rsidR="0060254F" w:rsidRPr="008048D3">
              <w:rPr>
                <w:rFonts w:ascii="Verdana" w:hAnsi="Verdana"/>
                <w:sz w:val="16"/>
                <w:szCs w:val="16"/>
                <w:lang w:val="lt-LT"/>
              </w:rPr>
              <w:t xml:space="preserve"> </w:t>
            </w:r>
            <w:r w:rsidRPr="008048D3">
              <w:rPr>
                <w:rFonts w:ascii="Verdana" w:hAnsi="Verdana"/>
                <w:sz w:val="16"/>
                <w:szCs w:val="16"/>
                <w:lang w:val="lt-LT"/>
              </w:rPr>
              <w:t xml:space="preserve">098 + </w:t>
            </w:r>
            <w:r w:rsidR="0060254F" w:rsidRPr="008048D3">
              <w:rPr>
                <w:rFonts w:ascii="Verdana" w:hAnsi="Verdana"/>
                <w:sz w:val="16"/>
                <w:szCs w:val="16"/>
                <w:lang w:val="lt-LT"/>
              </w:rPr>
              <w:t xml:space="preserve">Nusidėvėjimo sąnaudos </w:t>
            </w:r>
            <w:r w:rsidRPr="008048D3">
              <w:rPr>
                <w:rFonts w:ascii="Verdana" w:hAnsi="Verdana"/>
                <w:sz w:val="16"/>
                <w:szCs w:val="16"/>
                <w:lang w:val="lt-LT"/>
              </w:rPr>
              <w:t>6</w:t>
            </w:r>
            <w:r w:rsidR="0060254F" w:rsidRPr="008048D3">
              <w:rPr>
                <w:rFonts w:ascii="Verdana" w:hAnsi="Verdana"/>
                <w:sz w:val="16"/>
                <w:szCs w:val="16"/>
                <w:lang w:val="lt-LT"/>
              </w:rPr>
              <w:t xml:space="preserve"> </w:t>
            </w:r>
            <w:r w:rsidRPr="008048D3">
              <w:rPr>
                <w:rFonts w:ascii="Verdana" w:hAnsi="Verdana"/>
                <w:sz w:val="16"/>
                <w:szCs w:val="16"/>
                <w:lang w:val="lt-LT"/>
              </w:rPr>
              <w:t xml:space="preserve">058 + </w:t>
            </w:r>
            <w:r w:rsidR="0060254F" w:rsidRPr="008048D3">
              <w:rPr>
                <w:rFonts w:ascii="Verdana" w:hAnsi="Verdana"/>
                <w:sz w:val="16"/>
                <w:szCs w:val="16"/>
                <w:lang w:val="lt-LT"/>
              </w:rPr>
              <w:t xml:space="preserve">Amortizacijos sąnaudos </w:t>
            </w:r>
            <w:r w:rsidRPr="008048D3">
              <w:rPr>
                <w:rFonts w:ascii="Verdana" w:hAnsi="Verdana"/>
                <w:sz w:val="16"/>
                <w:szCs w:val="16"/>
                <w:lang w:val="lt-LT"/>
              </w:rPr>
              <w:t xml:space="preserve">50 – </w:t>
            </w:r>
            <w:r w:rsidR="0060254F" w:rsidRPr="008048D3">
              <w:rPr>
                <w:rFonts w:ascii="Verdana" w:hAnsi="Verdana"/>
                <w:sz w:val="16"/>
                <w:szCs w:val="16"/>
                <w:lang w:val="lt-LT"/>
              </w:rPr>
              <w:t>Pajamomis pripažintos subsidijos dėl turto</w:t>
            </w:r>
            <w:r w:rsidRPr="008048D3">
              <w:rPr>
                <w:rFonts w:ascii="Verdana" w:hAnsi="Verdana"/>
                <w:sz w:val="16"/>
                <w:szCs w:val="16"/>
                <w:lang w:val="lt-LT"/>
              </w:rPr>
              <w:t xml:space="preserve"> 663 + </w:t>
            </w:r>
            <w:r w:rsidR="0060254F" w:rsidRPr="008048D3">
              <w:rPr>
                <w:rFonts w:ascii="Verdana" w:hAnsi="Verdana"/>
                <w:sz w:val="16"/>
                <w:szCs w:val="16"/>
                <w:lang w:val="lt-LT"/>
              </w:rPr>
              <w:t xml:space="preserve">Vienkartinės sumos </w:t>
            </w:r>
            <w:r w:rsidRPr="008048D3">
              <w:rPr>
                <w:rFonts w:ascii="Verdana" w:hAnsi="Verdana"/>
                <w:sz w:val="16"/>
                <w:szCs w:val="16"/>
                <w:lang w:val="lt-LT"/>
              </w:rPr>
              <w:t>288 = 9</w:t>
            </w:r>
            <w:r w:rsidR="0060254F" w:rsidRPr="008048D3">
              <w:rPr>
                <w:rFonts w:ascii="Verdana" w:hAnsi="Verdana"/>
                <w:sz w:val="16"/>
                <w:szCs w:val="16"/>
                <w:lang w:val="lt-LT"/>
              </w:rPr>
              <w:t xml:space="preserve"> </w:t>
            </w:r>
            <w:r w:rsidRPr="008048D3">
              <w:rPr>
                <w:rFonts w:ascii="Verdana" w:hAnsi="Verdana"/>
                <w:sz w:val="16"/>
                <w:szCs w:val="16"/>
                <w:lang w:val="lt-LT"/>
              </w:rPr>
              <w:t xml:space="preserve">623. </w:t>
            </w:r>
          </w:p>
          <w:p w14:paraId="136EAB76" w14:textId="77F6B459" w:rsidR="00873B32" w:rsidRPr="008048D3" w:rsidRDefault="00873B32" w:rsidP="00873B32">
            <w:pPr>
              <w:widowControl w:val="0"/>
              <w:jc w:val="both"/>
              <w:rPr>
                <w:rFonts w:ascii="Verdana" w:hAnsi="Verdana"/>
                <w:sz w:val="16"/>
                <w:szCs w:val="16"/>
                <w:lang w:val="lt-LT"/>
              </w:rPr>
            </w:pPr>
            <w:r w:rsidRPr="008048D3">
              <w:rPr>
                <w:rFonts w:ascii="Verdana" w:hAnsi="Verdana"/>
                <w:sz w:val="16"/>
                <w:szCs w:val="16"/>
                <w:lang w:val="lt-LT"/>
              </w:rPr>
              <w:t>2015</w:t>
            </w:r>
            <w:r w:rsidR="0060254F" w:rsidRPr="008048D3">
              <w:rPr>
                <w:rFonts w:ascii="Verdana" w:hAnsi="Verdana"/>
                <w:sz w:val="16"/>
                <w:szCs w:val="16"/>
                <w:lang w:val="lt-LT"/>
              </w:rPr>
              <w:t xml:space="preserve"> m.</w:t>
            </w:r>
            <w:r w:rsidRPr="008048D3">
              <w:rPr>
                <w:rFonts w:ascii="Verdana" w:hAnsi="Verdana"/>
                <w:sz w:val="16"/>
                <w:szCs w:val="16"/>
                <w:lang w:val="lt-LT"/>
              </w:rPr>
              <w:t xml:space="preserve">: </w:t>
            </w:r>
            <w:r w:rsidR="0060254F" w:rsidRPr="008048D3">
              <w:rPr>
                <w:rFonts w:ascii="Verdana" w:hAnsi="Verdana"/>
                <w:sz w:val="16"/>
                <w:szCs w:val="16"/>
                <w:lang w:val="lt-LT"/>
              </w:rPr>
              <w:t xml:space="preserve">Pelnas (nuostoliai) prieš pelno mokestį </w:t>
            </w:r>
            <w:r w:rsidRPr="008048D3">
              <w:rPr>
                <w:rFonts w:ascii="Verdana" w:hAnsi="Verdana"/>
                <w:sz w:val="16"/>
                <w:szCs w:val="16"/>
                <w:lang w:val="lt-LT"/>
              </w:rPr>
              <w:t>6</w:t>
            </w:r>
            <w:r w:rsidR="0060254F" w:rsidRPr="008048D3">
              <w:rPr>
                <w:rFonts w:ascii="Verdana" w:hAnsi="Verdana"/>
                <w:sz w:val="16"/>
                <w:szCs w:val="16"/>
                <w:lang w:val="lt-LT"/>
              </w:rPr>
              <w:t xml:space="preserve"> </w:t>
            </w:r>
            <w:r w:rsidRPr="008048D3">
              <w:rPr>
                <w:rFonts w:ascii="Verdana" w:hAnsi="Verdana"/>
                <w:sz w:val="16"/>
                <w:szCs w:val="16"/>
                <w:lang w:val="lt-LT"/>
              </w:rPr>
              <w:t xml:space="preserve">128 + </w:t>
            </w:r>
            <w:r w:rsidR="0060254F" w:rsidRPr="008048D3">
              <w:rPr>
                <w:rFonts w:ascii="Verdana" w:hAnsi="Verdana"/>
                <w:sz w:val="16"/>
                <w:szCs w:val="16"/>
                <w:lang w:val="lt-LT"/>
              </w:rPr>
              <w:t xml:space="preserve">Finansavimo sąnaudos </w:t>
            </w:r>
            <w:r w:rsidRPr="008048D3">
              <w:rPr>
                <w:rFonts w:ascii="Verdana" w:hAnsi="Verdana"/>
                <w:sz w:val="16"/>
                <w:szCs w:val="16"/>
                <w:lang w:val="lt-LT"/>
              </w:rPr>
              <w:t>2</w:t>
            </w:r>
            <w:r w:rsidR="0060254F" w:rsidRPr="008048D3">
              <w:rPr>
                <w:rFonts w:ascii="Verdana" w:hAnsi="Verdana"/>
                <w:sz w:val="16"/>
                <w:szCs w:val="16"/>
                <w:lang w:val="lt-LT"/>
              </w:rPr>
              <w:t xml:space="preserve"> </w:t>
            </w:r>
            <w:r w:rsidRPr="008048D3">
              <w:rPr>
                <w:rFonts w:ascii="Verdana" w:hAnsi="Verdana"/>
                <w:sz w:val="16"/>
                <w:szCs w:val="16"/>
                <w:lang w:val="lt-LT"/>
              </w:rPr>
              <w:t xml:space="preserve">001 + </w:t>
            </w:r>
            <w:r w:rsidR="0060254F" w:rsidRPr="008048D3">
              <w:rPr>
                <w:rFonts w:ascii="Verdana" w:hAnsi="Verdana"/>
                <w:sz w:val="16"/>
                <w:szCs w:val="16"/>
                <w:lang w:val="lt-LT"/>
              </w:rPr>
              <w:t xml:space="preserve">Nusidėvėjimo sąnaudos </w:t>
            </w:r>
            <w:r w:rsidRPr="008048D3">
              <w:rPr>
                <w:rFonts w:ascii="Verdana" w:hAnsi="Verdana"/>
                <w:sz w:val="16"/>
                <w:szCs w:val="16"/>
                <w:lang w:val="lt-LT"/>
              </w:rPr>
              <w:t>6</w:t>
            </w:r>
            <w:r w:rsidR="0060254F" w:rsidRPr="008048D3">
              <w:rPr>
                <w:rFonts w:ascii="Verdana" w:hAnsi="Verdana"/>
                <w:sz w:val="16"/>
                <w:szCs w:val="16"/>
                <w:lang w:val="lt-LT"/>
              </w:rPr>
              <w:t xml:space="preserve"> </w:t>
            </w:r>
            <w:r w:rsidRPr="008048D3">
              <w:rPr>
                <w:rFonts w:ascii="Verdana" w:hAnsi="Verdana"/>
                <w:sz w:val="16"/>
                <w:szCs w:val="16"/>
                <w:lang w:val="lt-LT"/>
              </w:rPr>
              <w:t xml:space="preserve">177 + </w:t>
            </w:r>
            <w:r w:rsidR="0060254F" w:rsidRPr="008048D3">
              <w:rPr>
                <w:rFonts w:ascii="Verdana" w:hAnsi="Verdana"/>
                <w:sz w:val="16"/>
                <w:szCs w:val="16"/>
                <w:lang w:val="lt-LT"/>
              </w:rPr>
              <w:t xml:space="preserve">Amortizacijos sąnaudos </w:t>
            </w:r>
            <w:r w:rsidRPr="008048D3">
              <w:rPr>
                <w:rFonts w:ascii="Verdana" w:hAnsi="Verdana"/>
                <w:sz w:val="16"/>
                <w:szCs w:val="16"/>
                <w:lang w:val="lt-LT"/>
              </w:rPr>
              <w:t xml:space="preserve">151 – </w:t>
            </w:r>
            <w:r w:rsidR="0060254F" w:rsidRPr="008048D3">
              <w:rPr>
                <w:rFonts w:ascii="Verdana" w:hAnsi="Verdana"/>
                <w:sz w:val="16"/>
                <w:szCs w:val="16"/>
                <w:lang w:val="lt-LT"/>
              </w:rPr>
              <w:t xml:space="preserve">Pajamomis pripažintos subsidijos dėl turto </w:t>
            </w:r>
            <w:r w:rsidRPr="008048D3">
              <w:rPr>
                <w:rFonts w:ascii="Verdana" w:hAnsi="Verdana"/>
                <w:sz w:val="16"/>
                <w:szCs w:val="16"/>
                <w:lang w:val="lt-LT"/>
              </w:rPr>
              <w:t xml:space="preserve">446 – </w:t>
            </w:r>
            <w:r w:rsidR="0060254F" w:rsidRPr="008048D3">
              <w:rPr>
                <w:rFonts w:ascii="Verdana" w:hAnsi="Verdana"/>
                <w:sz w:val="16"/>
                <w:szCs w:val="16"/>
                <w:lang w:val="lt-LT"/>
              </w:rPr>
              <w:t xml:space="preserve">Vienkartinės sumos </w:t>
            </w:r>
            <w:r w:rsidRPr="008048D3">
              <w:rPr>
                <w:rFonts w:ascii="Verdana" w:hAnsi="Verdana"/>
                <w:sz w:val="16"/>
                <w:szCs w:val="16"/>
                <w:lang w:val="lt-LT"/>
              </w:rPr>
              <w:t>3</w:t>
            </w:r>
            <w:r w:rsidR="0060254F" w:rsidRPr="008048D3">
              <w:rPr>
                <w:rFonts w:ascii="Verdana" w:hAnsi="Verdana"/>
                <w:sz w:val="16"/>
                <w:szCs w:val="16"/>
                <w:lang w:val="lt-LT"/>
              </w:rPr>
              <w:t xml:space="preserve"> </w:t>
            </w:r>
            <w:r w:rsidRPr="008048D3">
              <w:rPr>
                <w:rFonts w:ascii="Verdana" w:hAnsi="Verdana"/>
                <w:sz w:val="16"/>
                <w:szCs w:val="16"/>
                <w:lang w:val="lt-LT"/>
              </w:rPr>
              <w:t>263 (</w:t>
            </w:r>
            <w:r w:rsidR="0060254F" w:rsidRPr="008048D3">
              <w:rPr>
                <w:rFonts w:ascii="Verdana" w:hAnsi="Verdana"/>
                <w:sz w:val="16"/>
                <w:szCs w:val="16"/>
                <w:lang w:val="lt-LT"/>
              </w:rPr>
              <w:t xml:space="preserve">investicinio turto perkainojimo pelno eliminavimas </w:t>
            </w:r>
            <w:r w:rsidRPr="008048D3">
              <w:rPr>
                <w:rFonts w:ascii="Verdana" w:hAnsi="Verdana"/>
                <w:sz w:val="16"/>
                <w:szCs w:val="16"/>
                <w:lang w:val="lt-LT"/>
              </w:rPr>
              <w:t xml:space="preserve">-3,339 + </w:t>
            </w:r>
            <w:r w:rsidR="002C2209" w:rsidRPr="008048D3">
              <w:rPr>
                <w:rFonts w:ascii="Verdana" w:hAnsi="Verdana"/>
                <w:sz w:val="16"/>
                <w:szCs w:val="16"/>
                <w:lang w:val="lt-LT"/>
              </w:rPr>
              <w:t xml:space="preserve">kitos vienkartinės sumos </w:t>
            </w:r>
            <w:r w:rsidRPr="008048D3">
              <w:rPr>
                <w:rFonts w:ascii="Verdana" w:hAnsi="Verdana"/>
                <w:sz w:val="16"/>
                <w:szCs w:val="16"/>
                <w:lang w:val="lt-LT"/>
              </w:rPr>
              <w:t>76) = 10</w:t>
            </w:r>
            <w:r w:rsidR="002C2209" w:rsidRPr="008048D3">
              <w:rPr>
                <w:rFonts w:ascii="Verdana" w:hAnsi="Verdana"/>
                <w:sz w:val="16"/>
                <w:szCs w:val="16"/>
                <w:lang w:val="lt-LT"/>
              </w:rPr>
              <w:t xml:space="preserve"> </w:t>
            </w:r>
            <w:r w:rsidRPr="008048D3">
              <w:rPr>
                <w:rFonts w:ascii="Verdana" w:hAnsi="Verdana"/>
                <w:sz w:val="16"/>
                <w:szCs w:val="16"/>
                <w:lang w:val="lt-LT"/>
              </w:rPr>
              <w:t>748.</w:t>
            </w:r>
          </w:p>
          <w:p w14:paraId="49B259C4" w14:textId="77777777" w:rsidR="00873B32" w:rsidRPr="008048D3" w:rsidRDefault="00873B32" w:rsidP="005B68BE">
            <w:pPr>
              <w:jc w:val="both"/>
              <w:rPr>
                <w:rFonts w:ascii="Verdana" w:hAnsi="Verdana"/>
                <w:sz w:val="16"/>
                <w:szCs w:val="16"/>
                <w:lang w:val="lt-LT"/>
              </w:rPr>
            </w:pPr>
          </w:p>
          <w:p w14:paraId="37866ED4" w14:textId="130E1C81" w:rsidR="005B68BE" w:rsidRPr="008048D3" w:rsidRDefault="005B68BE" w:rsidP="005B68BE">
            <w:pPr>
              <w:jc w:val="both"/>
              <w:rPr>
                <w:rFonts w:ascii="Verdana" w:hAnsi="Verdana"/>
                <w:sz w:val="16"/>
                <w:szCs w:val="16"/>
                <w:lang w:val="lt-LT"/>
              </w:rPr>
            </w:pPr>
            <w:r w:rsidRPr="008048D3">
              <w:rPr>
                <w:rFonts w:ascii="Verdana" w:hAnsi="Verdana"/>
                <w:sz w:val="16"/>
                <w:szCs w:val="16"/>
                <w:lang w:val="lt-LT"/>
              </w:rPr>
              <w:t>EBITDA mar</w:t>
            </w:r>
            <w:r w:rsidR="009C5860" w:rsidRPr="008048D3">
              <w:rPr>
                <w:rFonts w:ascii="Verdana" w:hAnsi="Verdana"/>
                <w:sz w:val="16"/>
                <w:szCs w:val="16"/>
                <w:lang w:val="lt-LT"/>
              </w:rPr>
              <w:t>ža</w:t>
            </w:r>
            <w:r w:rsidRPr="008048D3">
              <w:rPr>
                <w:rFonts w:ascii="Verdana" w:hAnsi="Verdana"/>
                <w:sz w:val="16"/>
                <w:szCs w:val="16"/>
                <w:lang w:val="lt-LT"/>
              </w:rPr>
              <w:t xml:space="preserve"> = EBITDA / </w:t>
            </w:r>
            <w:r w:rsidR="009C5860" w:rsidRPr="008048D3">
              <w:rPr>
                <w:rFonts w:ascii="Verdana" w:hAnsi="Verdana"/>
                <w:sz w:val="16"/>
                <w:szCs w:val="16"/>
                <w:lang w:val="lt-LT"/>
              </w:rPr>
              <w:t xml:space="preserve">Pajamos </w:t>
            </w:r>
          </w:p>
          <w:p w14:paraId="1480F1EC" w14:textId="77777777" w:rsidR="002C2209" w:rsidRPr="008048D3" w:rsidRDefault="002C2209" w:rsidP="005B68BE">
            <w:pPr>
              <w:rPr>
                <w:rFonts w:ascii="Verdana" w:hAnsi="Verdana"/>
                <w:sz w:val="16"/>
                <w:szCs w:val="16"/>
                <w:lang w:val="lt-LT"/>
              </w:rPr>
            </w:pPr>
          </w:p>
          <w:p w14:paraId="603DA736" w14:textId="1699163F" w:rsidR="002C2209" w:rsidRPr="008048D3" w:rsidRDefault="002C2209" w:rsidP="005B68BE">
            <w:pPr>
              <w:rPr>
                <w:rFonts w:ascii="Verdana" w:hAnsi="Verdana"/>
                <w:sz w:val="16"/>
                <w:szCs w:val="16"/>
                <w:lang w:val="lt-LT"/>
              </w:rPr>
            </w:pPr>
            <w:r w:rsidRPr="008048D3">
              <w:rPr>
                <w:rFonts w:ascii="Verdana" w:hAnsi="Verdana"/>
                <w:sz w:val="16"/>
                <w:szCs w:val="16"/>
                <w:lang w:val="lt-LT"/>
              </w:rPr>
              <w:t>Skola/EBITDA = (Ilgalaikės paskolos + ilgalaikiai lizingo įsipareigojimai + ilgalaikių paskolų einamųjų metų dalis + ilgalaikių lizingo įsipareigojimų einamųjų metų dalis + trumpalaikės paskolos) / EBITDA.</w:t>
            </w:r>
          </w:p>
          <w:p w14:paraId="3E43C2DF" w14:textId="77777777" w:rsidR="002C2209" w:rsidRPr="008048D3" w:rsidRDefault="002C2209" w:rsidP="005B68BE">
            <w:pPr>
              <w:rPr>
                <w:rFonts w:ascii="Verdana" w:hAnsi="Verdana"/>
                <w:sz w:val="16"/>
                <w:szCs w:val="16"/>
                <w:lang w:val="lt-LT"/>
              </w:rPr>
            </w:pPr>
          </w:p>
          <w:p w14:paraId="7182B568" w14:textId="77777777" w:rsidR="005D4D89" w:rsidRPr="008048D3" w:rsidRDefault="009D3DCD" w:rsidP="005B68BE">
            <w:pPr>
              <w:rPr>
                <w:rFonts w:ascii="Verdana" w:hAnsi="Verdana"/>
                <w:sz w:val="16"/>
                <w:szCs w:val="16"/>
                <w:lang w:val="lt-LT"/>
              </w:rPr>
            </w:pPr>
            <w:r w:rsidRPr="008048D3">
              <w:rPr>
                <w:rFonts w:ascii="Verdana" w:hAnsi="Verdana"/>
                <w:sz w:val="16"/>
                <w:szCs w:val="16"/>
                <w:lang w:val="lt-LT"/>
              </w:rPr>
              <w:t xml:space="preserve">Nuosavybės koeficientas = </w:t>
            </w:r>
            <w:r w:rsidR="009C5860" w:rsidRPr="008048D3">
              <w:rPr>
                <w:rFonts w:ascii="Verdana" w:hAnsi="Verdana"/>
                <w:sz w:val="16"/>
                <w:szCs w:val="16"/>
                <w:lang w:val="lt-LT"/>
              </w:rPr>
              <w:t xml:space="preserve">Visa </w:t>
            </w:r>
            <w:r w:rsidRPr="008048D3">
              <w:rPr>
                <w:rFonts w:ascii="Verdana" w:hAnsi="Verdana"/>
                <w:sz w:val="16"/>
                <w:szCs w:val="16"/>
                <w:lang w:val="lt-LT"/>
              </w:rPr>
              <w:t xml:space="preserve">nuosavybė / </w:t>
            </w:r>
            <w:r w:rsidR="009C5860" w:rsidRPr="008048D3">
              <w:rPr>
                <w:rFonts w:ascii="Verdana" w:hAnsi="Verdana"/>
                <w:sz w:val="16"/>
                <w:szCs w:val="16"/>
                <w:lang w:val="lt-LT"/>
              </w:rPr>
              <w:t xml:space="preserve">Visas </w:t>
            </w:r>
            <w:r w:rsidRPr="008048D3">
              <w:rPr>
                <w:rFonts w:ascii="Verdana" w:hAnsi="Verdana"/>
                <w:sz w:val="16"/>
                <w:szCs w:val="16"/>
                <w:lang w:val="lt-LT"/>
              </w:rPr>
              <w:t>turtas</w:t>
            </w:r>
          </w:p>
          <w:p w14:paraId="3B5686B2" w14:textId="5855E017" w:rsidR="005B68BE" w:rsidRPr="008048D3" w:rsidRDefault="009D3DCD" w:rsidP="005B68BE">
            <w:pPr>
              <w:rPr>
                <w:rFonts w:ascii="Verdana" w:hAnsi="Verdana"/>
                <w:sz w:val="16"/>
                <w:szCs w:val="16"/>
                <w:lang w:val="lt-LT"/>
              </w:rPr>
            </w:pPr>
            <w:r w:rsidRPr="008048D3">
              <w:rPr>
                <w:rFonts w:ascii="Verdana" w:hAnsi="Verdana"/>
                <w:sz w:val="16"/>
                <w:szCs w:val="16"/>
                <w:lang w:val="lt-LT"/>
              </w:rPr>
              <w:t xml:space="preserve"> </w:t>
            </w:r>
          </w:p>
          <w:p w14:paraId="48563CB2" w14:textId="62D31CA3" w:rsidR="00ED6FB7" w:rsidRPr="008048D3" w:rsidRDefault="001226BD" w:rsidP="005B68BE">
            <w:pPr>
              <w:rPr>
                <w:rFonts w:ascii="Verdana" w:hAnsi="Verdana"/>
                <w:sz w:val="16"/>
                <w:szCs w:val="16"/>
                <w:lang w:val="lt-LT"/>
              </w:rPr>
            </w:pPr>
            <w:r w:rsidRPr="008048D3">
              <w:rPr>
                <w:rFonts w:ascii="Verdana" w:hAnsi="Verdana" w:cs="Calibri"/>
                <w:sz w:val="16"/>
                <w:szCs w:val="16"/>
                <w:lang w:val="lt-LT"/>
              </w:rPr>
              <w:t>Koreguotas a</w:t>
            </w:r>
            <w:r w:rsidR="009D3DCD" w:rsidRPr="008048D3">
              <w:rPr>
                <w:rFonts w:ascii="Verdana" w:hAnsi="Verdana" w:cs="Calibri"/>
                <w:sz w:val="16"/>
                <w:szCs w:val="16"/>
                <w:lang w:val="lt-LT"/>
              </w:rPr>
              <w:t>pyvartinis kapitalas</w:t>
            </w:r>
            <w:r w:rsidR="009D3DCD" w:rsidRPr="008048D3">
              <w:rPr>
                <w:rFonts w:ascii="Verdana" w:hAnsi="Verdana"/>
                <w:sz w:val="16"/>
                <w:szCs w:val="16"/>
                <w:lang w:val="lt-LT"/>
              </w:rPr>
              <w:t xml:space="preserve"> = </w:t>
            </w:r>
            <w:r w:rsidR="009C5860" w:rsidRPr="008048D3">
              <w:rPr>
                <w:rFonts w:ascii="Verdana" w:hAnsi="Verdana"/>
                <w:sz w:val="16"/>
                <w:szCs w:val="16"/>
                <w:lang w:val="lt-LT"/>
              </w:rPr>
              <w:t xml:space="preserve">Trumpalaikis </w:t>
            </w:r>
            <w:r w:rsidR="00ED6FB7" w:rsidRPr="008048D3">
              <w:rPr>
                <w:rFonts w:ascii="Verdana" w:hAnsi="Verdana"/>
                <w:sz w:val="16"/>
                <w:szCs w:val="16"/>
                <w:lang w:val="lt-LT"/>
              </w:rPr>
              <w:t xml:space="preserve">biologinis </w:t>
            </w:r>
            <w:r w:rsidR="009D3DCD" w:rsidRPr="008048D3">
              <w:rPr>
                <w:rFonts w:ascii="Verdana" w:hAnsi="Verdana"/>
                <w:sz w:val="16"/>
                <w:szCs w:val="16"/>
                <w:lang w:val="lt-LT"/>
              </w:rPr>
              <w:t xml:space="preserve">turtas </w:t>
            </w:r>
            <w:r w:rsidR="00ED6FB7" w:rsidRPr="008048D3">
              <w:rPr>
                <w:rFonts w:ascii="Verdana" w:hAnsi="Verdana"/>
                <w:sz w:val="16"/>
                <w:szCs w:val="16"/>
                <w:lang w:val="lt-LT"/>
              </w:rPr>
              <w:t xml:space="preserve">+ </w:t>
            </w:r>
            <w:r w:rsidR="005D4D89" w:rsidRPr="008048D3">
              <w:rPr>
                <w:rFonts w:ascii="Verdana" w:hAnsi="Verdana"/>
                <w:sz w:val="16"/>
                <w:szCs w:val="16"/>
                <w:lang w:val="lt-LT"/>
              </w:rPr>
              <w:t>Prekybos gautinos sumos, išankstiniai apmokėjimai ir kitos g</w:t>
            </w:r>
            <w:r w:rsidR="009C5860" w:rsidRPr="008048D3">
              <w:rPr>
                <w:rFonts w:ascii="Verdana" w:hAnsi="Verdana"/>
                <w:sz w:val="16"/>
                <w:szCs w:val="16"/>
                <w:lang w:val="lt-LT"/>
              </w:rPr>
              <w:t xml:space="preserve">autinos </w:t>
            </w:r>
            <w:r w:rsidR="00ED6FB7" w:rsidRPr="008048D3">
              <w:rPr>
                <w:rFonts w:ascii="Verdana" w:hAnsi="Verdana"/>
                <w:sz w:val="16"/>
                <w:szCs w:val="16"/>
                <w:lang w:val="lt-LT"/>
              </w:rPr>
              <w:t xml:space="preserve">sumos + </w:t>
            </w:r>
            <w:r w:rsidR="009C5860" w:rsidRPr="008048D3">
              <w:rPr>
                <w:rFonts w:ascii="Verdana" w:hAnsi="Verdana"/>
                <w:sz w:val="16"/>
                <w:szCs w:val="16"/>
                <w:lang w:val="lt-LT"/>
              </w:rPr>
              <w:t xml:space="preserve">Atsargos </w:t>
            </w:r>
            <w:r w:rsidR="009D3DCD" w:rsidRPr="008048D3">
              <w:rPr>
                <w:rFonts w:ascii="Verdana" w:hAnsi="Verdana"/>
                <w:sz w:val="16"/>
                <w:szCs w:val="16"/>
                <w:lang w:val="lt-LT"/>
              </w:rPr>
              <w:t xml:space="preserve">– </w:t>
            </w:r>
            <w:r w:rsidR="005D4D89" w:rsidRPr="008048D3">
              <w:rPr>
                <w:rFonts w:ascii="Verdana" w:hAnsi="Verdana"/>
                <w:sz w:val="16"/>
                <w:szCs w:val="16"/>
                <w:lang w:val="lt-LT"/>
              </w:rPr>
              <w:t>Prekybos m</w:t>
            </w:r>
            <w:r w:rsidR="009C5860" w:rsidRPr="008048D3">
              <w:rPr>
                <w:rFonts w:ascii="Verdana" w:hAnsi="Verdana"/>
                <w:sz w:val="16"/>
                <w:szCs w:val="16"/>
                <w:lang w:val="lt-LT"/>
              </w:rPr>
              <w:t xml:space="preserve">okėtinos </w:t>
            </w:r>
            <w:r w:rsidR="005D4D89" w:rsidRPr="008048D3">
              <w:rPr>
                <w:rFonts w:ascii="Verdana" w:hAnsi="Verdana"/>
                <w:sz w:val="16"/>
                <w:szCs w:val="16"/>
                <w:lang w:val="lt-LT"/>
              </w:rPr>
              <w:t xml:space="preserve">sumos </w:t>
            </w:r>
            <w:r w:rsidR="00ED6FB7" w:rsidRPr="008048D3">
              <w:rPr>
                <w:rFonts w:ascii="Verdana" w:hAnsi="Verdana"/>
                <w:sz w:val="16"/>
                <w:szCs w:val="16"/>
                <w:lang w:val="lt-LT"/>
              </w:rPr>
              <w:t xml:space="preserve">– </w:t>
            </w:r>
            <w:r w:rsidR="009C5860" w:rsidRPr="008048D3">
              <w:rPr>
                <w:rFonts w:ascii="Verdana" w:hAnsi="Verdana"/>
                <w:sz w:val="16"/>
                <w:szCs w:val="16"/>
                <w:lang w:val="lt-LT"/>
              </w:rPr>
              <w:t xml:space="preserve">Kitos </w:t>
            </w:r>
            <w:r w:rsidR="00ED6FB7" w:rsidRPr="008048D3">
              <w:rPr>
                <w:rFonts w:ascii="Verdana" w:hAnsi="Verdana"/>
                <w:sz w:val="16"/>
                <w:szCs w:val="16"/>
                <w:lang w:val="lt-LT"/>
              </w:rPr>
              <w:t xml:space="preserve">mokėtinos sumos </w:t>
            </w:r>
            <w:r w:rsidR="005D4D89" w:rsidRPr="008048D3">
              <w:rPr>
                <w:rFonts w:ascii="Verdana" w:hAnsi="Verdana"/>
                <w:sz w:val="16"/>
                <w:szCs w:val="16"/>
                <w:lang w:val="lt-LT"/>
              </w:rPr>
              <w:t>ir trumpalaikiai įsipareigojimai</w:t>
            </w:r>
          </w:p>
          <w:p w14:paraId="57FE7E84" w14:textId="59487DF8" w:rsidR="001226BD" w:rsidRPr="008048D3" w:rsidRDefault="001226BD" w:rsidP="005B68BE">
            <w:pPr>
              <w:rPr>
                <w:rFonts w:ascii="Verdana" w:hAnsi="Verdana"/>
                <w:sz w:val="16"/>
                <w:szCs w:val="16"/>
                <w:lang w:val="lt-LT"/>
              </w:rPr>
            </w:pPr>
          </w:p>
          <w:p w14:paraId="3E3C242D" w14:textId="58CFA259" w:rsidR="001226BD" w:rsidRPr="008048D3" w:rsidRDefault="001226BD" w:rsidP="001226BD">
            <w:pPr>
              <w:jc w:val="both"/>
              <w:rPr>
                <w:rFonts w:ascii="Verdana" w:hAnsi="Verdana"/>
                <w:sz w:val="16"/>
                <w:lang w:val="lt-LT"/>
              </w:rPr>
            </w:pPr>
            <w:r w:rsidRPr="008048D3">
              <w:rPr>
                <w:rFonts w:ascii="Verdana" w:hAnsi="Verdana" w:cs="Calibri"/>
                <w:sz w:val="16"/>
                <w:szCs w:val="16"/>
                <w:lang w:val="lt-LT"/>
              </w:rPr>
              <w:t xml:space="preserve">Koreguoto apyvartinio kapitalo formulėje </w:t>
            </w:r>
            <w:r w:rsidRPr="008048D3">
              <w:rPr>
                <w:rFonts w:ascii="Verdana" w:hAnsi="Verdana"/>
                <w:sz w:val="16"/>
                <w:lang w:val="lt-LT"/>
              </w:rPr>
              <w:t>eliminuojami grynųjų pinigų ir finansavimo elementai, kas leid</w:t>
            </w:r>
            <w:r w:rsidR="0024359A" w:rsidRPr="008048D3">
              <w:rPr>
                <w:rFonts w:ascii="Verdana" w:hAnsi="Verdana"/>
                <w:sz w:val="16"/>
                <w:lang w:val="lt-LT"/>
              </w:rPr>
              <w:t>žia skaitytojui matyti, kaip gerai panaudojamas tiesiogiai su Grupės veikla susijęs trumpalaikis turtas ir trumpalaikiai įsipareigojimai</w:t>
            </w:r>
            <w:r w:rsidRPr="008048D3">
              <w:rPr>
                <w:rFonts w:ascii="Verdana" w:hAnsi="Verdana"/>
                <w:sz w:val="16"/>
                <w:lang w:val="lt-LT"/>
              </w:rPr>
              <w:t xml:space="preserve">. </w:t>
            </w:r>
            <w:r w:rsidR="000721A2" w:rsidRPr="008048D3">
              <w:rPr>
                <w:rFonts w:ascii="Verdana" w:hAnsi="Verdana"/>
                <w:sz w:val="16"/>
                <w:lang w:val="lt-LT"/>
              </w:rPr>
              <w:t xml:space="preserve">Visas trumpalaikis turtas ir visi trumpalaikiai įsipareigojimai naudojami aprašyti </w:t>
            </w:r>
            <w:r w:rsidRPr="008048D3">
              <w:rPr>
                <w:rFonts w:ascii="Verdana" w:hAnsi="Verdana"/>
                <w:sz w:val="16"/>
                <w:lang w:val="lt-LT"/>
              </w:rPr>
              <w:t>li</w:t>
            </w:r>
            <w:r w:rsidR="000721A2" w:rsidRPr="008048D3">
              <w:rPr>
                <w:rFonts w:ascii="Verdana" w:hAnsi="Verdana"/>
                <w:sz w:val="16"/>
                <w:lang w:val="lt-LT"/>
              </w:rPr>
              <w:t>kv</w:t>
            </w:r>
            <w:r w:rsidRPr="008048D3">
              <w:rPr>
                <w:rFonts w:ascii="Verdana" w:hAnsi="Verdana"/>
                <w:sz w:val="16"/>
                <w:lang w:val="lt-LT"/>
              </w:rPr>
              <w:t>id</w:t>
            </w:r>
            <w:r w:rsidR="000721A2" w:rsidRPr="008048D3">
              <w:rPr>
                <w:rFonts w:ascii="Verdana" w:hAnsi="Verdana"/>
                <w:sz w:val="16"/>
                <w:lang w:val="lt-LT"/>
              </w:rPr>
              <w:t>umo koeficientą, kuris taip pat įtrauktas tarp Grupės pagrindinių rodiklių</w:t>
            </w:r>
            <w:r w:rsidRPr="008048D3">
              <w:rPr>
                <w:rFonts w:ascii="Verdana" w:hAnsi="Verdana"/>
                <w:sz w:val="16"/>
                <w:lang w:val="lt-LT"/>
              </w:rPr>
              <w:t>.</w:t>
            </w:r>
          </w:p>
          <w:p w14:paraId="2444B93A" w14:textId="77777777" w:rsidR="001226BD" w:rsidRPr="008048D3" w:rsidRDefault="001226BD" w:rsidP="001226BD">
            <w:pPr>
              <w:jc w:val="both"/>
              <w:rPr>
                <w:rFonts w:ascii="Verdana" w:hAnsi="Verdana"/>
                <w:sz w:val="16"/>
                <w:lang w:val="lt-LT"/>
              </w:rPr>
            </w:pPr>
          </w:p>
          <w:p w14:paraId="7CEEB567" w14:textId="3BC3848E" w:rsidR="00ED6FB7" w:rsidRPr="008048D3" w:rsidRDefault="000F5AE9" w:rsidP="00ED6FB7">
            <w:pPr>
              <w:rPr>
                <w:rFonts w:ascii="Verdana" w:hAnsi="Verdana"/>
                <w:sz w:val="16"/>
                <w:szCs w:val="16"/>
                <w:lang w:val="lt-LT"/>
              </w:rPr>
            </w:pPr>
            <w:r w:rsidRPr="008048D3">
              <w:rPr>
                <w:rFonts w:ascii="Verdana" w:hAnsi="Verdana"/>
                <w:sz w:val="16"/>
                <w:szCs w:val="16"/>
                <w:lang w:val="lt-LT"/>
              </w:rPr>
              <w:t xml:space="preserve">Likvidumo </w:t>
            </w:r>
            <w:r w:rsidR="00ED6FB7" w:rsidRPr="008048D3">
              <w:rPr>
                <w:rFonts w:ascii="Verdana" w:hAnsi="Verdana"/>
                <w:sz w:val="16"/>
                <w:szCs w:val="16"/>
                <w:lang w:val="lt-LT"/>
              </w:rPr>
              <w:t xml:space="preserve">koeficientas = </w:t>
            </w:r>
            <w:r w:rsidRPr="008048D3">
              <w:rPr>
                <w:rFonts w:ascii="Verdana" w:hAnsi="Verdana"/>
                <w:sz w:val="16"/>
                <w:szCs w:val="16"/>
                <w:lang w:val="lt-LT"/>
              </w:rPr>
              <w:t>Visas t</w:t>
            </w:r>
            <w:r w:rsidR="009C5860" w:rsidRPr="008048D3">
              <w:rPr>
                <w:rFonts w:ascii="Verdana" w:hAnsi="Verdana"/>
                <w:sz w:val="16"/>
                <w:szCs w:val="16"/>
                <w:lang w:val="lt-LT"/>
              </w:rPr>
              <w:t xml:space="preserve">rumpalaikis </w:t>
            </w:r>
            <w:r w:rsidR="00ED6FB7" w:rsidRPr="008048D3">
              <w:rPr>
                <w:rFonts w:ascii="Verdana" w:hAnsi="Verdana"/>
                <w:sz w:val="16"/>
                <w:szCs w:val="16"/>
                <w:lang w:val="lt-LT"/>
              </w:rPr>
              <w:t xml:space="preserve">turtas / </w:t>
            </w:r>
            <w:r w:rsidRPr="008048D3">
              <w:rPr>
                <w:rFonts w:ascii="Verdana" w:hAnsi="Verdana"/>
                <w:sz w:val="16"/>
                <w:szCs w:val="16"/>
                <w:lang w:val="lt-LT"/>
              </w:rPr>
              <w:t>Visi t</w:t>
            </w:r>
            <w:r w:rsidR="009C5860" w:rsidRPr="008048D3">
              <w:rPr>
                <w:rFonts w:ascii="Verdana" w:hAnsi="Verdana"/>
                <w:sz w:val="16"/>
                <w:szCs w:val="16"/>
                <w:lang w:val="lt-LT"/>
              </w:rPr>
              <w:t xml:space="preserve">rumpalaikiai </w:t>
            </w:r>
            <w:r w:rsidR="00ED6FB7" w:rsidRPr="008048D3">
              <w:rPr>
                <w:rFonts w:ascii="Verdana" w:hAnsi="Verdana"/>
                <w:sz w:val="16"/>
                <w:szCs w:val="16"/>
                <w:lang w:val="lt-LT"/>
              </w:rPr>
              <w:t xml:space="preserve">įsipareigojimai </w:t>
            </w:r>
          </w:p>
          <w:p w14:paraId="0060476A" w14:textId="77777777" w:rsidR="000F5AE9" w:rsidRPr="008048D3" w:rsidRDefault="000F5AE9" w:rsidP="00ED6FB7">
            <w:pPr>
              <w:rPr>
                <w:rFonts w:ascii="Verdana" w:hAnsi="Verdana"/>
                <w:sz w:val="16"/>
                <w:szCs w:val="16"/>
                <w:lang w:val="lt-LT"/>
              </w:rPr>
            </w:pPr>
          </w:p>
          <w:p w14:paraId="6CB2266D" w14:textId="48F5418B" w:rsidR="00ED6FB7" w:rsidRPr="008048D3" w:rsidRDefault="00ED6FB7" w:rsidP="00ED6FB7">
            <w:pPr>
              <w:rPr>
                <w:rFonts w:ascii="Verdana" w:hAnsi="Verdana"/>
                <w:sz w:val="16"/>
                <w:szCs w:val="16"/>
                <w:lang w:val="lt-LT"/>
              </w:rPr>
            </w:pPr>
            <w:r w:rsidRPr="008048D3">
              <w:rPr>
                <w:rFonts w:ascii="Verdana" w:hAnsi="Verdana"/>
                <w:sz w:val="16"/>
                <w:szCs w:val="16"/>
                <w:lang w:val="lt-LT"/>
              </w:rPr>
              <w:t>Skubaus padengimo koeficientas = (</w:t>
            </w:r>
            <w:r w:rsidR="000F5AE9" w:rsidRPr="008048D3">
              <w:rPr>
                <w:rFonts w:ascii="Verdana" w:hAnsi="Verdana"/>
                <w:sz w:val="16"/>
                <w:szCs w:val="16"/>
                <w:lang w:val="lt-LT"/>
              </w:rPr>
              <w:t>Visas t</w:t>
            </w:r>
            <w:r w:rsidR="009C5860" w:rsidRPr="008048D3">
              <w:rPr>
                <w:rFonts w:ascii="Verdana" w:hAnsi="Verdana"/>
                <w:sz w:val="16"/>
                <w:szCs w:val="16"/>
                <w:lang w:val="lt-LT"/>
              </w:rPr>
              <w:t xml:space="preserve">rumpalaikis </w:t>
            </w:r>
            <w:r w:rsidRPr="008048D3">
              <w:rPr>
                <w:rFonts w:ascii="Verdana" w:hAnsi="Verdana"/>
                <w:sz w:val="16"/>
                <w:szCs w:val="16"/>
                <w:lang w:val="lt-LT"/>
              </w:rPr>
              <w:t xml:space="preserve">turtas – </w:t>
            </w:r>
            <w:r w:rsidR="009C5860" w:rsidRPr="008048D3">
              <w:rPr>
                <w:rFonts w:ascii="Verdana" w:hAnsi="Verdana"/>
                <w:sz w:val="16"/>
                <w:szCs w:val="16"/>
                <w:lang w:val="lt-LT"/>
              </w:rPr>
              <w:t>Atsargos</w:t>
            </w:r>
            <w:r w:rsidRPr="008048D3">
              <w:rPr>
                <w:rFonts w:ascii="Verdana" w:hAnsi="Verdana"/>
                <w:sz w:val="16"/>
                <w:szCs w:val="16"/>
                <w:lang w:val="lt-LT"/>
              </w:rPr>
              <w:t xml:space="preserve">) / </w:t>
            </w:r>
            <w:r w:rsidR="000F5AE9" w:rsidRPr="008048D3">
              <w:rPr>
                <w:rFonts w:ascii="Verdana" w:hAnsi="Verdana"/>
                <w:sz w:val="16"/>
                <w:szCs w:val="16"/>
                <w:lang w:val="lt-LT"/>
              </w:rPr>
              <w:t>Visi t</w:t>
            </w:r>
            <w:r w:rsidR="009C5860" w:rsidRPr="008048D3">
              <w:rPr>
                <w:rFonts w:ascii="Verdana" w:hAnsi="Verdana"/>
                <w:sz w:val="16"/>
                <w:szCs w:val="16"/>
                <w:lang w:val="lt-LT"/>
              </w:rPr>
              <w:t xml:space="preserve">rumpalaikiai </w:t>
            </w:r>
            <w:r w:rsidRPr="008048D3">
              <w:rPr>
                <w:rFonts w:ascii="Verdana" w:hAnsi="Verdana"/>
                <w:sz w:val="16"/>
                <w:szCs w:val="16"/>
                <w:lang w:val="lt-LT"/>
              </w:rPr>
              <w:t xml:space="preserve">įsipareigojimai </w:t>
            </w:r>
          </w:p>
          <w:p w14:paraId="533D1055" w14:textId="77777777" w:rsidR="000F5AE9" w:rsidRPr="008048D3" w:rsidRDefault="000F5AE9" w:rsidP="00ED6FB7">
            <w:pPr>
              <w:rPr>
                <w:rFonts w:ascii="Verdana" w:hAnsi="Verdana"/>
                <w:sz w:val="16"/>
                <w:szCs w:val="16"/>
                <w:lang w:val="lt-LT"/>
              </w:rPr>
            </w:pPr>
          </w:p>
          <w:p w14:paraId="58C2A5F1" w14:textId="7C1ABA0B" w:rsidR="000721A2" w:rsidRPr="008048D3" w:rsidRDefault="00ED6FB7" w:rsidP="00ED6FB7">
            <w:pPr>
              <w:rPr>
                <w:rFonts w:ascii="Verdana" w:hAnsi="Verdana"/>
                <w:sz w:val="16"/>
                <w:szCs w:val="16"/>
                <w:lang w:val="lt-LT"/>
              </w:rPr>
            </w:pPr>
            <w:r w:rsidRPr="008048D3">
              <w:rPr>
                <w:rFonts w:ascii="Verdana" w:hAnsi="Verdana"/>
                <w:sz w:val="16"/>
                <w:szCs w:val="16"/>
                <w:lang w:val="lt-LT"/>
              </w:rPr>
              <w:t xml:space="preserve">ROA (Turto grąža) = </w:t>
            </w:r>
            <w:r w:rsidR="009C5860" w:rsidRPr="008048D3">
              <w:rPr>
                <w:rFonts w:ascii="Verdana" w:hAnsi="Verdana"/>
                <w:sz w:val="16"/>
                <w:szCs w:val="16"/>
                <w:lang w:val="lt-LT"/>
              </w:rPr>
              <w:t xml:space="preserve">Veiklos </w:t>
            </w:r>
            <w:r w:rsidRPr="008048D3">
              <w:rPr>
                <w:rFonts w:ascii="Verdana" w:hAnsi="Verdana"/>
                <w:sz w:val="16"/>
                <w:szCs w:val="16"/>
                <w:lang w:val="lt-LT"/>
              </w:rPr>
              <w:t xml:space="preserve">pelnas / </w:t>
            </w:r>
            <w:r w:rsidR="000F5AE9" w:rsidRPr="008048D3">
              <w:rPr>
                <w:rFonts w:ascii="Verdana" w:hAnsi="Verdana"/>
                <w:sz w:val="16"/>
                <w:szCs w:val="16"/>
                <w:lang w:val="lt-LT"/>
              </w:rPr>
              <w:t xml:space="preserve">((Visas turtas metų pabaigoje + visas turtas metų pradžioje)/2). </w:t>
            </w:r>
            <w:r w:rsidR="000721A2" w:rsidRPr="008048D3">
              <w:rPr>
                <w:rFonts w:ascii="Verdana" w:hAnsi="Verdana"/>
                <w:sz w:val="16"/>
                <w:szCs w:val="16"/>
                <w:lang w:val="lt-LT"/>
              </w:rPr>
              <w:t xml:space="preserve">12 </w:t>
            </w:r>
            <w:r w:rsidR="00E46752" w:rsidRPr="008048D3">
              <w:rPr>
                <w:rFonts w:ascii="Verdana" w:hAnsi="Verdana"/>
                <w:sz w:val="16"/>
                <w:szCs w:val="16"/>
                <w:lang w:val="lt-LT"/>
              </w:rPr>
              <w:t>mėn. laikotarpis iki 2018 m. kovo 31 d.</w:t>
            </w:r>
            <w:r w:rsidR="000721A2" w:rsidRPr="008048D3">
              <w:rPr>
                <w:rFonts w:ascii="Verdana" w:hAnsi="Verdana"/>
                <w:sz w:val="16"/>
                <w:szCs w:val="16"/>
                <w:lang w:val="lt-LT"/>
              </w:rPr>
              <w:t>: 7</w:t>
            </w:r>
            <w:r w:rsidR="00E46752" w:rsidRPr="008048D3">
              <w:rPr>
                <w:rFonts w:ascii="Verdana" w:hAnsi="Verdana"/>
                <w:sz w:val="16"/>
                <w:szCs w:val="16"/>
                <w:lang w:val="lt-LT"/>
              </w:rPr>
              <w:t xml:space="preserve"> </w:t>
            </w:r>
            <w:r w:rsidR="000721A2" w:rsidRPr="008048D3">
              <w:rPr>
                <w:rFonts w:ascii="Verdana" w:hAnsi="Verdana"/>
                <w:sz w:val="16"/>
                <w:szCs w:val="16"/>
                <w:lang w:val="lt-LT"/>
              </w:rPr>
              <w:t>397/((158</w:t>
            </w:r>
            <w:r w:rsidR="00E46752" w:rsidRPr="008048D3">
              <w:rPr>
                <w:rFonts w:ascii="Verdana" w:hAnsi="Verdana"/>
                <w:sz w:val="16"/>
                <w:szCs w:val="16"/>
                <w:lang w:val="lt-LT"/>
              </w:rPr>
              <w:t xml:space="preserve"> </w:t>
            </w:r>
            <w:r w:rsidR="000721A2" w:rsidRPr="008048D3">
              <w:rPr>
                <w:rFonts w:ascii="Verdana" w:hAnsi="Verdana"/>
                <w:sz w:val="16"/>
                <w:szCs w:val="16"/>
                <w:lang w:val="lt-LT"/>
              </w:rPr>
              <w:t>675+129</w:t>
            </w:r>
            <w:r w:rsidR="00E46752" w:rsidRPr="008048D3">
              <w:rPr>
                <w:rFonts w:ascii="Verdana" w:hAnsi="Verdana"/>
                <w:sz w:val="16"/>
                <w:szCs w:val="16"/>
                <w:lang w:val="lt-LT"/>
              </w:rPr>
              <w:t xml:space="preserve"> </w:t>
            </w:r>
            <w:r w:rsidR="000721A2" w:rsidRPr="008048D3">
              <w:rPr>
                <w:rFonts w:ascii="Verdana" w:hAnsi="Verdana"/>
                <w:sz w:val="16"/>
                <w:szCs w:val="16"/>
                <w:lang w:val="lt-LT"/>
              </w:rPr>
              <w:t>953)/2) = 5</w:t>
            </w:r>
            <w:r w:rsidR="00E46752" w:rsidRPr="008048D3">
              <w:rPr>
                <w:rFonts w:ascii="Verdana" w:hAnsi="Verdana"/>
                <w:sz w:val="16"/>
                <w:szCs w:val="16"/>
                <w:lang w:val="lt-LT"/>
              </w:rPr>
              <w:t>,</w:t>
            </w:r>
            <w:r w:rsidR="000721A2" w:rsidRPr="008048D3">
              <w:rPr>
                <w:rFonts w:ascii="Verdana" w:hAnsi="Verdana"/>
                <w:sz w:val="16"/>
                <w:szCs w:val="16"/>
                <w:lang w:val="lt-LT"/>
              </w:rPr>
              <w:t xml:space="preserve">13%. </w:t>
            </w:r>
            <w:r w:rsidR="00E46752" w:rsidRPr="008048D3">
              <w:rPr>
                <w:rFonts w:ascii="Verdana" w:hAnsi="Verdana"/>
                <w:sz w:val="16"/>
                <w:szCs w:val="16"/>
                <w:lang w:val="lt-LT"/>
              </w:rPr>
              <w:t xml:space="preserve">12 mėn. laikotarpis iki 2017 m. kovo 31 d.: </w:t>
            </w:r>
            <w:r w:rsidR="000721A2" w:rsidRPr="008048D3">
              <w:rPr>
                <w:rFonts w:ascii="Verdana" w:hAnsi="Verdana"/>
                <w:sz w:val="16"/>
                <w:szCs w:val="16"/>
                <w:lang w:val="lt-LT"/>
              </w:rPr>
              <w:t>3</w:t>
            </w:r>
            <w:r w:rsidR="00E46752" w:rsidRPr="008048D3">
              <w:rPr>
                <w:rFonts w:ascii="Verdana" w:hAnsi="Verdana"/>
                <w:sz w:val="16"/>
                <w:szCs w:val="16"/>
                <w:lang w:val="lt-LT"/>
              </w:rPr>
              <w:t xml:space="preserve"> </w:t>
            </w:r>
            <w:r w:rsidR="000721A2" w:rsidRPr="008048D3">
              <w:rPr>
                <w:rFonts w:ascii="Verdana" w:hAnsi="Verdana"/>
                <w:sz w:val="16"/>
                <w:szCs w:val="16"/>
                <w:lang w:val="lt-LT"/>
              </w:rPr>
              <w:t>192/((129</w:t>
            </w:r>
            <w:r w:rsidR="00E46752" w:rsidRPr="008048D3">
              <w:rPr>
                <w:rFonts w:ascii="Verdana" w:hAnsi="Verdana"/>
                <w:sz w:val="16"/>
                <w:szCs w:val="16"/>
                <w:lang w:val="lt-LT"/>
              </w:rPr>
              <w:t xml:space="preserve"> </w:t>
            </w:r>
            <w:r w:rsidR="000721A2" w:rsidRPr="008048D3">
              <w:rPr>
                <w:rFonts w:ascii="Verdana" w:hAnsi="Verdana"/>
                <w:sz w:val="16"/>
                <w:szCs w:val="16"/>
                <w:lang w:val="lt-LT"/>
              </w:rPr>
              <w:t>953+132</w:t>
            </w:r>
            <w:r w:rsidR="00E46752" w:rsidRPr="008048D3">
              <w:rPr>
                <w:rFonts w:ascii="Verdana" w:hAnsi="Verdana"/>
                <w:sz w:val="16"/>
                <w:szCs w:val="16"/>
                <w:lang w:val="lt-LT"/>
              </w:rPr>
              <w:t xml:space="preserve"> </w:t>
            </w:r>
            <w:r w:rsidR="000721A2" w:rsidRPr="008048D3">
              <w:rPr>
                <w:rFonts w:ascii="Verdana" w:hAnsi="Verdana"/>
                <w:sz w:val="16"/>
                <w:szCs w:val="16"/>
                <w:lang w:val="lt-LT"/>
              </w:rPr>
              <w:t>239)/2) = 2</w:t>
            </w:r>
            <w:r w:rsidR="00E46752" w:rsidRPr="008048D3">
              <w:rPr>
                <w:rFonts w:ascii="Verdana" w:hAnsi="Verdana"/>
                <w:sz w:val="16"/>
                <w:szCs w:val="16"/>
                <w:lang w:val="lt-LT"/>
              </w:rPr>
              <w:t>,</w:t>
            </w:r>
            <w:r w:rsidR="000721A2" w:rsidRPr="008048D3">
              <w:rPr>
                <w:rFonts w:ascii="Verdana" w:hAnsi="Verdana"/>
                <w:sz w:val="16"/>
                <w:szCs w:val="16"/>
                <w:lang w:val="lt-LT"/>
              </w:rPr>
              <w:t>43%. 2017</w:t>
            </w:r>
            <w:r w:rsidR="00E46752" w:rsidRPr="008048D3">
              <w:rPr>
                <w:rFonts w:ascii="Verdana" w:hAnsi="Verdana"/>
                <w:sz w:val="16"/>
                <w:szCs w:val="16"/>
                <w:lang w:val="lt-LT"/>
              </w:rPr>
              <w:t xml:space="preserve"> m.</w:t>
            </w:r>
            <w:r w:rsidR="000721A2" w:rsidRPr="008048D3">
              <w:rPr>
                <w:rFonts w:ascii="Verdana" w:hAnsi="Verdana"/>
                <w:sz w:val="16"/>
                <w:szCs w:val="16"/>
                <w:lang w:val="lt-LT"/>
              </w:rPr>
              <w:t>: 6</w:t>
            </w:r>
            <w:r w:rsidR="00E46752" w:rsidRPr="008048D3">
              <w:rPr>
                <w:rFonts w:ascii="Verdana" w:hAnsi="Verdana"/>
                <w:sz w:val="16"/>
                <w:szCs w:val="16"/>
                <w:lang w:val="lt-LT"/>
              </w:rPr>
              <w:t xml:space="preserve"> </w:t>
            </w:r>
            <w:r w:rsidR="000721A2" w:rsidRPr="008048D3">
              <w:rPr>
                <w:rFonts w:ascii="Verdana" w:hAnsi="Verdana"/>
                <w:sz w:val="16"/>
                <w:szCs w:val="16"/>
                <w:lang w:val="lt-LT"/>
              </w:rPr>
              <w:t>697/((148</w:t>
            </w:r>
            <w:r w:rsidR="00E46752" w:rsidRPr="008048D3">
              <w:rPr>
                <w:rFonts w:ascii="Verdana" w:hAnsi="Verdana"/>
                <w:sz w:val="16"/>
                <w:szCs w:val="16"/>
                <w:lang w:val="lt-LT"/>
              </w:rPr>
              <w:t xml:space="preserve"> </w:t>
            </w:r>
            <w:r w:rsidR="000721A2" w:rsidRPr="008048D3">
              <w:rPr>
                <w:rFonts w:ascii="Verdana" w:hAnsi="Verdana"/>
                <w:sz w:val="16"/>
                <w:szCs w:val="16"/>
                <w:lang w:val="lt-LT"/>
              </w:rPr>
              <w:t>548+122</w:t>
            </w:r>
            <w:r w:rsidR="00E46752" w:rsidRPr="008048D3">
              <w:rPr>
                <w:rFonts w:ascii="Verdana" w:hAnsi="Verdana"/>
                <w:sz w:val="16"/>
                <w:szCs w:val="16"/>
                <w:lang w:val="lt-LT"/>
              </w:rPr>
              <w:t xml:space="preserve"> </w:t>
            </w:r>
            <w:r w:rsidR="000721A2" w:rsidRPr="008048D3">
              <w:rPr>
                <w:rFonts w:ascii="Verdana" w:hAnsi="Verdana"/>
                <w:sz w:val="16"/>
                <w:szCs w:val="16"/>
                <w:lang w:val="lt-LT"/>
              </w:rPr>
              <w:t>090)/2) = 4</w:t>
            </w:r>
            <w:r w:rsidR="00E46752" w:rsidRPr="008048D3">
              <w:rPr>
                <w:rFonts w:ascii="Verdana" w:hAnsi="Verdana"/>
                <w:sz w:val="16"/>
                <w:szCs w:val="16"/>
                <w:lang w:val="lt-LT"/>
              </w:rPr>
              <w:t>,</w:t>
            </w:r>
            <w:r w:rsidR="000721A2" w:rsidRPr="008048D3">
              <w:rPr>
                <w:rFonts w:ascii="Verdana" w:hAnsi="Verdana"/>
                <w:sz w:val="16"/>
                <w:szCs w:val="16"/>
                <w:lang w:val="lt-LT"/>
              </w:rPr>
              <w:t>95%. 2016</w:t>
            </w:r>
            <w:r w:rsidR="00E46752" w:rsidRPr="008048D3">
              <w:rPr>
                <w:rFonts w:ascii="Verdana" w:hAnsi="Verdana"/>
                <w:sz w:val="16"/>
                <w:szCs w:val="16"/>
                <w:lang w:val="lt-LT"/>
              </w:rPr>
              <w:t xml:space="preserve"> m.</w:t>
            </w:r>
            <w:r w:rsidR="000721A2" w:rsidRPr="008048D3">
              <w:rPr>
                <w:rFonts w:ascii="Verdana" w:hAnsi="Verdana"/>
                <w:sz w:val="16"/>
                <w:szCs w:val="16"/>
                <w:lang w:val="lt-LT"/>
              </w:rPr>
              <w:t>: 3</w:t>
            </w:r>
            <w:r w:rsidR="00E46752" w:rsidRPr="008048D3">
              <w:rPr>
                <w:rFonts w:ascii="Verdana" w:hAnsi="Verdana"/>
                <w:sz w:val="16"/>
                <w:szCs w:val="16"/>
                <w:lang w:val="lt-LT"/>
              </w:rPr>
              <w:t> </w:t>
            </w:r>
            <w:r w:rsidR="000721A2" w:rsidRPr="008048D3">
              <w:rPr>
                <w:rFonts w:ascii="Verdana" w:hAnsi="Verdana"/>
                <w:sz w:val="16"/>
                <w:szCs w:val="16"/>
                <w:lang w:val="lt-LT"/>
              </w:rPr>
              <w:t>890</w:t>
            </w:r>
            <w:r w:rsidR="00E46752" w:rsidRPr="008048D3">
              <w:rPr>
                <w:rFonts w:ascii="Verdana" w:hAnsi="Verdana"/>
                <w:sz w:val="16"/>
                <w:szCs w:val="16"/>
                <w:lang w:val="lt-LT"/>
              </w:rPr>
              <w:t xml:space="preserve"> </w:t>
            </w:r>
            <w:r w:rsidR="000721A2" w:rsidRPr="008048D3">
              <w:rPr>
                <w:rFonts w:ascii="Verdana" w:hAnsi="Verdana"/>
                <w:sz w:val="16"/>
                <w:szCs w:val="16"/>
                <w:lang w:val="lt-LT"/>
              </w:rPr>
              <w:t>/</w:t>
            </w:r>
            <w:r w:rsidR="00E46752" w:rsidRPr="008048D3">
              <w:rPr>
                <w:rFonts w:ascii="Verdana" w:hAnsi="Verdana"/>
                <w:sz w:val="16"/>
                <w:szCs w:val="16"/>
                <w:lang w:val="lt-LT"/>
              </w:rPr>
              <w:t xml:space="preserve"> </w:t>
            </w:r>
            <w:r w:rsidR="000721A2" w:rsidRPr="008048D3">
              <w:rPr>
                <w:rFonts w:ascii="Verdana" w:hAnsi="Verdana"/>
                <w:sz w:val="16"/>
                <w:szCs w:val="16"/>
                <w:lang w:val="lt-LT"/>
              </w:rPr>
              <w:t>((122</w:t>
            </w:r>
            <w:r w:rsidR="00E46752" w:rsidRPr="008048D3">
              <w:rPr>
                <w:rFonts w:ascii="Verdana" w:hAnsi="Verdana"/>
                <w:sz w:val="16"/>
                <w:szCs w:val="16"/>
                <w:lang w:val="lt-LT"/>
              </w:rPr>
              <w:t> </w:t>
            </w:r>
            <w:r w:rsidR="000721A2" w:rsidRPr="008048D3">
              <w:rPr>
                <w:rFonts w:ascii="Verdana" w:hAnsi="Verdana"/>
                <w:sz w:val="16"/>
                <w:szCs w:val="16"/>
                <w:lang w:val="lt-LT"/>
              </w:rPr>
              <w:t>090+135</w:t>
            </w:r>
            <w:r w:rsidR="00E46752" w:rsidRPr="008048D3">
              <w:rPr>
                <w:rFonts w:ascii="Verdana" w:hAnsi="Verdana"/>
                <w:sz w:val="16"/>
                <w:szCs w:val="16"/>
                <w:lang w:val="lt-LT"/>
              </w:rPr>
              <w:t> </w:t>
            </w:r>
            <w:r w:rsidR="000721A2" w:rsidRPr="008048D3">
              <w:rPr>
                <w:rFonts w:ascii="Verdana" w:hAnsi="Verdana"/>
                <w:sz w:val="16"/>
                <w:szCs w:val="16"/>
                <w:lang w:val="lt-LT"/>
              </w:rPr>
              <w:t>266)/2) = 3</w:t>
            </w:r>
            <w:r w:rsidR="00E46752" w:rsidRPr="008048D3">
              <w:rPr>
                <w:rFonts w:ascii="Verdana" w:hAnsi="Verdana"/>
                <w:sz w:val="16"/>
                <w:szCs w:val="16"/>
                <w:lang w:val="lt-LT"/>
              </w:rPr>
              <w:t>,</w:t>
            </w:r>
            <w:r w:rsidR="000721A2" w:rsidRPr="008048D3">
              <w:rPr>
                <w:rFonts w:ascii="Verdana" w:hAnsi="Verdana"/>
                <w:sz w:val="16"/>
                <w:szCs w:val="16"/>
                <w:lang w:val="lt-LT"/>
              </w:rPr>
              <w:t>02%. 2015</w:t>
            </w:r>
            <w:r w:rsidR="00E46752" w:rsidRPr="008048D3">
              <w:rPr>
                <w:rFonts w:ascii="Verdana" w:hAnsi="Verdana"/>
                <w:sz w:val="16"/>
                <w:szCs w:val="16"/>
                <w:lang w:val="lt-LT"/>
              </w:rPr>
              <w:t xml:space="preserve"> m.</w:t>
            </w:r>
            <w:r w:rsidR="000721A2" w:rsidRPr="008048D3">
              <w:rPr>
                <w:rFonts w:ascii="Verdana" w:hAnsi="Verdana"/>
                <w:sz w:val="16"/>
                <w:szCs w:val="16"/>
                <w:lang w:val="lt-LT"/>
              </w:rPr>
              <w:t>: 8</w:t>
            </w:r>
            <w:r w:rsidR="00E46752" w:rsidRPr="008048D3">
              <w:rPr>
                <w:rFonts w:ascii="Verdana" w:hAnsi="Verdana"/>
                <w:sz w:val="16"/>
                <w:szCs w:val="16"/>
                <w:lang w:val="lt-LT"/>
              </w:rPr>
              <w:t xml:space="preserve"> </w:t>
            </w:r>
            <w:r w:rsidR="000721A2" w:rsidRPr="008048D3">
              <w:rPr>
                <w:rFonts w:ascii="Verdana" w:hAnsi="Verdana"/>
                <w:sz w:val="16"/>
                <w:szCs w:val="16"/>
                <w:lang w:val="lt-LT"/>
              </w:rPr>
              <w:t>129/((135</w:t>
            </w:r>
            <w:r w:rsidR="00E46752" w:rsidRPr="008048D3">
              <w:rPr>
                <w:rFonts w:ascii="Verdana" w:hAnsi="Verdana"/>
                <w:sz w:val="16"/>
                <w:szCs w:val="16"/>
                <w:lang w:val="lt-LT"/>
              </w:rPr>
              <w:t xml:space="preserve"> </w:t>
            </w:r>
            <w:r w:rsidR="000721A2" w:rsidRPr="008048D3">
              <w:rPr>
                <w:rFonts w:ascii="Verdana" w:hAnsi="Verdana"/>
                <w:sz w:val="16"/>
                <w:szCs w:val="16"/>
                <w:lang w:val="lt-LT"/>
              </w:rPr>
              <w:t>266 + 123</w:t>
            </w:r>
            <w:r w:rsidR="00E46752" w:rsidRPr="008048D3">
              <w:rPr>
                <w:rFonts w:ascii="Verdana" w:hAnsi="Verdana"/>
                <w:sz w:val="16"/>
                <w:szCs w:val="16"/>
                <w:lang w:val="lt-LT"/>
              </w:rPr>
              <w:t xml:space="preserve"> </w:t>
            </w:r>
            <w:r w:rsidR="000721A2" w:rsidRPr="008048D3">
              <w:rPr>
                <w:rFonts w:ascii="Verdana" w:hAnsi="Verdana"/>
                <w:sz w:val="16"/>
                <w:szCs w:val="16"/>
                <w:lang w:val="lt-LT"/>
              </w:rPr>
              <w:t>031)/2 = 6</w:t>
            </w:r>
            <w:r w:rsidR="00E46752" w:rsidRPr="008048D3">
              <w:rPr>
                <w:rFonts w:ascii="Verdana" w:hAnsi="Verdana"/>
                <w:sz w:val="16"/>
                <w:szCs w:val="16"/>
                <w:lang w:val="lt-LT"/>
              </w:rPr>
              <w:t>,</w:t>
            </w:r>
            <w:r w:rsidR="000721A2" w:rsidRPr="008048D3">
              <w:rPr>
                <w:rFonts w:ascii="Verdana" w:hAnsi="Verdana"/>
                <w:sz w:val="16"/>
                <w:szCs w:val="16"/>
                <w:lang w:val="lt-LT"/>
              </w:rPr>
              <w:t>29%.</w:t>
            </w:r>
          </w:p>
          <w:p w14:paraId="4302B5AB" w14:textId="77777777" w:rsidR="000721A2" w:rsidRPr="008048D3" w:rsidRDefault="000721A2" w:rsidP="00ED6FB7">
            <w:pPr>
              <w:rPr>
                <w:rFonts w:ascii="Verdana" w:hAnsi="Verdana"/>
                <w:sz w:val="16"/>
                <w:szCs w:val="16"/>
                <w:lang w:val="lt-LT"/>
              </w:rPr>
            </w:pPr>
          </w:p>
          <w:p w14:paraId="36CFDF55" w14:textId="319D0A0D" w:rsidR="005B68BE" w:rsidRPr="008048D3" w:rsidRDefault="00ED6FB7" w:rsidP="00270CD2">
            <w:pPr>
              <w:jc w:val="both"/>
              <w:rPr>
                <w:rFonts w:ascii="Verdana" w:hAnsi="Verdana"/>
                <w:sz w:val="16"/>
                <w:szCs w:val="16"/>
                <w:lang w:val="lt-LT"/>
              </w:rPr>
            </w:pPr>
            <w:r w:rsidRPr="008048D3">
              <w:rPr>
                <w:rFonts w:ascii="Verdana" w:hAnsi="Verdana"/>
                <w:sz w:val="16"/>
                <w:szCs w:val="16"/>
                <w:lang w:val="lt-LT"/>
              </w:rPr>
              <w:t xml:space="preserve">ROE (Nuosavybės grąža) = </w:t>
            </w:r>
            <w:r w:rsidR="000E37B8" w:rsidRPr="008048D3">
              <w:rPr>
                <w:rFonts w:ascii="Verdana" w:hAnsi="Verdana"/>
                <w:sz w:val="16"/>
                <w:szCs w:val="16"/>
                <w:lang w:val="lt-LT"/>
              </w:rPr>
              <w:t xml:space="preserve">Bendrovės nuosavo kapitalo savininkams priskiriamas grynasis pelnas </w:t>
            </w:r>
            <w:r w:rsidR="000F5AE9" w:rsidRPr="008048D3">
              <w:rPr>
                <w:rFonts w:ascii="Verdana" w:hAnsi="Verdana"/>
                <w:sz w:val="16"/>
                <w:szCs w:val="16"/>
                <w:lang w:val="lt-LT"/>
              </w:rPr>
              <w:t>/ ((</w:t>
            </w:r>
            <w:r w:rsidR="000E37B8" w:rsidRPr="008048D3">
              <w:rPr>
                <w:rFonts w:ascii="Verdana" w:hAnsi="Verdana"/>
                <w:sz w:val="16"/>
                <w:szCs w:val="16"/>
                <w:lang w:val="lt-LT"/>
              </w:rPr>
              <w:t xml:space="preserve">Patronuojančiosios bendrovės nuosavo kapitalo savininkams priskiriama nuosavybė metų pabaigoje </w:t>
            </w:r>
            <w:r w:rsidR="000F5AE9" w:rsidRPr="008048D3">
              <w:rPr>
                <w:rFonts w:ascii="Verdana" w:hAnsi="Verdana"/>
                <w:sz w:val="16"/>
                <w:szCs w:val="16"/>
                <w:lang w:val="lt-LT"/>
              </w:rPr>
              <w:t xml:space="preserve">+ </w:t>
            </w:r>
            <w:r w:rsidR="000E37B8" w:rsidRPr="008048D3">
              <w:rPr>
                <w:rFonts w:ascii="Verdana" w:hAnsi="Verdana"/>
                <w:sz w:val="16"/>
                <w:szCs w:val="16"/>
                <w:lang w:val="lt-LT"/>
              </w:rPr>
              <w:t>patronuojančiosios bendrovės nuosavo kapitalo savininkams priskiriama nuosavybė metų pradžioje</w:t>
            </w:r>
            <w:r w:rsidR="000F5AE9" w:rsidRPr="008048D3">
              <w:rPr>
                <w:rFonts w:ascii="Verdana" w:hAnsi="Verdana"/>
                <w:sz w:val="16"/>
                <w:szCs w:val="16"/>
                <w:lang w:val="lt-LT"/>
              </w:rPr>
              <w:t xml:space="preserve">)/2). </w:t>
            </w:r>
            <w:r w:rsidR="00D2574E" w:rsidRPr="008048D3">
              <w:rPr>
                <w:rFonts w:ascii="Verdana" w:hAnsi="Verdana"/>
                <w:sz w:val="16"/>
                <w:szCs w:val="16"/>
                <w:lang w:val="lt-LT"/>
              </w:rPr>
              <w:t>12 mėn. laikotarpis iki 2018 m. kovo 31 d.: 5 573 / ((79 640+72 255)/2) = 7,</w:t>
            </w:r>
            <w:r w:rsidR="005A7AF3" w:rsidRPr="008048D3">
              <w:rPr>
                <w:rFonts w:ascii="Verdana" w:hAnsi="Verdana"/>
                <w:sz w:val="16"/>
                <w:szCs w:val="16"/>
                <w:lang w:val="lt-LT"/>
              </w:rPr>
              <w:t>34</w:t>
            </w:r>
            <w:r w:rsidR="00D2574E" w:rsidRPr="008048D3">
              <w:rPr>
                <w:rFonts w:ascii="Verdana" w:hAnsi="Verdana"/>
                <w:sz w:val="16"/>
                <w:szCs w:val="16"/>
                <w:lang w:val="lt-LT"/>
              </w:rPr>
              <w:t>%. 12 mėn. laikotarpis iki 2017 m. kovo 31 d.: 1 607/((72 255+69 392)/2) = 2,27%. 2017 m.: 4 926/((78 633+71 945)/2) = 6,54%. 2016 m.: 2 173/((71 945+68 809)/2) = 3,09%. 2015 m.: 5 618/((68 809+55 604)/2) = 9,03%.</w:t>
            </w:r>
          </w:p>
        </w:tc>
      </w:tr>
      <w:tr w:rsidR="008F65F5" w:rsidRPr="008048D3" w14:paraId="7CD1167B" w14:textId="77777777" w:rsidTr="00CA53A5">
        <w:tc>
          <w:tcPr>
            <w:tcW w:w="288" w:type="pct"/>
          </w:tcPr>
          <w:p w14:paraId="20466864"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lastRenderedPageBreak/>
              <w:t>B.8</w:t>
            </w:r>
          </w:p>
        </w:tc>
        <w:tc>
          <w:tcPr>
            <w:tcW w:w="621" w:type="pct"/>
            <w:gridSpan w:val="2"/>
          </w:tcPr>
          <w:p w14:paraId="481F84EB" w14:textId="0FBAC22E" w:rsidR="008F65F5" w:rsidRPr="008048D3" w:rsidRDefault="007F6AF9" w:rsidP="008F65F5">
            <w:pPr>
              <w:spacing w:after="40"/>
              <w:rPr>
                <w:rFonts w:ascii="Verdana" w:hAnsi="Verdana" w:cs="Arial"/>
                <w:sz w:val="16"/>
                <w:szCs w:val="16"/>
                <w:lang w:val="lt-LT"/>
              </w:rPr>
            </w:pPr>
            <w:r w:rsidRPr="008048D3">
              <w:rPr>
                <w:rFonts w:ascii="Verdana" w:hAnsi="Verdana" w:cs="Arial"/>
                <w:sz w:val="16"/>
                <w:szCs w:val="16"/>
                <w:lang w:val="lt-LT"/>
              </w:rPr>
              <w:t xml:space="preserve">Atrinkta pagrindinė formali finansinė informacija </w:t>
            </w:r>
          </w:p>
        </w:tc>
        <w:tc>
          <w:tcPr>
            <w:tcW w:w="4090" w:type="pct"/>
          </w:tcPr>
          <w:p w14:paraId="7C3AF4DF" w14:textId="6FF884D7" w:rsidR="00F257E6" w:rsidRPr="008048D3" w:rsidRDefault="009C5860" w:rsidP="00B034D5">
            <w:pPr>
              <w:rPr>
                <w:rFonts w:ascii="Verdana" w:hAnsi="Verdana" w:cs="Arial"/>
                <w:sz w:val="16"/>
                <w:szCs w:val="16"/>
                <w:lang w:val="lt-LT"/>
              </w:rPr>
            </w:pPr>
            <w:r w:rsidRPr="008048D3">
              <w:rPr>
                <w:rFonts w:ascii="Verdana" w:hAnsi="Verdana" w:cs="Arial"/>
                <w:sz w:val="16"/>
                <w:szCs w:val="16"/>
                <w:lang w:val="lt-LT"/>
              </w:rPr>
              <w:t>Netaikoma. Prospekte nėra formalios finansinės informacijos</w:t>
            </w:r>
            <w:r w:rsidR="005A7B58" w:rsidRPr="008048D3">
              <w:rPr>
                <w:rFonts w:ascii="Verdana" w:hAnsi="Verdana" w:cs="Arial"/>
                <w:sz w:val="16"/>
                <w:szCs w:val="16"/>
                <w:lang w:val="lt-LT"/>
              </w:rPr>
              <w:t>.</w:t>
            </w:r>
          </w:p>
        </w:tc>
      </w:tr>
      <w:tr w:rsidR="008F65F5" w:rsidRPr="008048D3" w14:paraId="20C78318" w14:textId="77777777" w:rsidTr="00CA53A5">
        <w:tc>
          <w:tcPr>
            <w:tcW w:w="288" w:type="pct"/>
          </w:tcPr>
          <w:p w14:paraId="7C58561B"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B.9</w:t>
            </w:r>
          </w:p>
        </w:tc>
        <w:tc>
          <w:tcPr>
            <w:tcW w:w="621" w:type="pct"/>
            <w:gridSpan w:val="2"/>
          </w:tcPr>
          <w:p w14:paraId="63EC3986" w14:textId="27EA9948" w:rsidR="008F65F5" w:rsidRPr="008048D3" w:rsidRDefault="007F6AF9" w:rsidP="008F65F5">
            <w:pPr>
              <w:spacing w:after="40"/>
              <w:rPr>
                <w:rFonts w:ascii="Verdana" w:hAnsi="Verdana" w:cs="Arial"/>
                <w:sz w:val="16"/>
                <w:szCs w:val="16"/>
                <w:lang w:val="lt-LT"/>
              </w:rPr>
            </w:pPr>
            <w:r w:rsidRPr="008048D3">
              <w:rPr>
                <w:rFonts w:ascii="Verdana" w:hAnsi="Verdana" w:cs="Arial"/>
                <w:sz w:val="16"/>
                <w:szCs w:val="16"/>
                <w:lang w:val="lt-LT"/>
              </w:rPr>
              <w:t xml:space="preserve">Pelno </w:t>
            </w:r>
            <w:r w:rsidRPr="008048D3">
              <w:rPr>
                <w:rFonts w:ascii="Verdana" w:hAnsi="Verdana" w:cs="Arial"/>
                <w:sz w:val="16"/>
                <w:szCs w:val="16"/>
                <w:lang w:val="lt-LT"/>
              </w:rPr>
              <w:lastRenderedPageBreak/>
              <w:t xml:space="preserve">prognozė arba preliminarus pelnas </w:t>
            </w:r>
          </w:p>
        </w:tc>
        <w:tc>
          <w:tcPr>
            <w:tcW w:w="4090" w:type="pct"/>
          </w:tcPr>
          <w:p w14:paraId="3FBBC028" w14:textId="1A976042" w:rsidR="00672448" w:rsidRPr="008048D3" w:rsidRDefault="009C5860" w:rsidP="00E160B1">
            <w:pPr>
              <w:spacing w:after="40"/>
              <w:jc w:val="both"/>
              <w:rPr>
                <w:rFonts w:ascii="Verdana" w:hAnsi="Verdana" w:cs="Arial"/>
                <w:sz w:val="16"/>
                <w:szCs w:val="16"/>
                <w:lang w:val="lt-LT"/>
              </w:rPr>
            </w:pPr>
            <w:r w:rsidRPr="008048D3">
              <w:rPr>
                <w:rFonts w:ascii="Verdana" w:hAnsi="Verdana" w:cs="Arial"/>
                <w:sz w:val="16"/>
                <w:szCs w:val="16"/>
                <w:lang w:val="lt-LT"/>
              </w:rPr>
              <w:lastRenderedPageBreak/>
              <w:t>Netaikoma</w:t>
            </w:r>
            <w:r w:rsidR="008F65F5" w:rsidRPr="008048D3">
              <w:rPr>
                <w:rFonts w:ascii="Verdana" w:hAnsi="Verdana" w:cs="Arial"/>
                <w:sz w:val="16"/>
                <w:szCs w:val="16"/>
                <w:lang w:val="lt-LT"/>
              </w:rPr>
              <w:t xml:space="preserve">. </w:t>
            </w:r>
            <w:r w:rsidRPr="008048D3">
              <w:rPr>
                <w:rFonts w:ascii="Verdana" w:hAnsi="Verdana" w:cs="Arial"/>
                <w:sz w:val="16"/>
                <w:szCs w:val="16"/>
                <w:lang w:val="lt-LT"/>
              </w:rPr>
              <w:t xml:space="preserve">Emitentas nepriėmė sprendimo į Prospektą įtraukti finansinių prognozių arba </w:t>
            </w:r>
            <w:r w:rsidRPr="008048D3">
              <w:rPr>
                <w:rFonts w:ascii="Verdana" w:hAnsi="Verdana" w:cs="Arial"/>
                <w:sz w:val="16"/>
                <w:szCs w:val="16"/>
                <w:lang w:val="lt-LT"/>
              </w:rPr>
              <w:lastRenderedPageBreak/>
              <w:t>preliminaraus pelno</w:t>
            </w:r>
            <w:r w:rsidR="008F65F5" w:rsidRPr="008048D3">
              <w:rPr>
                <w:rFonts w:ascii="Verdana" w:hAnsi="Verdana" w:cs="Arial"/>
                <w:sz w:val="16"/>
                <w:szCs w:val="16"/>
                <w:lang w:val="lt-LT"/>
              </w:rPr>
              <w:t>.</w:t>
            </w:r>
          </w:p>
        </w:tc>
      </w:tr>
      <w:tr w:rsidR="008F65F5" w:rsidRPr="008048D3" w14:paraId="7A870075" w14:textId="77777777" w:rsidTr="00CA53A5">
        <w:tc>
          <w:tcPr>
            <w:tcW w:w="288" w:type="pct"/>
          </w:tcPr>
          <w:p w14:paraId="20FCEAEA"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lastRenderedPageBreak/>
              <w:t>B.10</w:t>
            </w:r>
          </w:p>
        </w:tc>
        <w:tc>
          <w:tcPr>
            <w:tcW w:w="621" w:type="pct"/>
            <w:gridSpan w:val="2"/>
          </w:tcPr>
          <w:p w14:paraId="761C440E" w14:textId="77777777" w:rsidR="009C5860" w:rsidRPr="008048D3" w:rsidRDefault="009C5860" w:rsidP="008F65F5">
            <w:pPr>
              <w:spacing w:after="40"/>
              <w:rPr>
                <w:rFonts w:ascii="Verdana" w:hAnsi="Verdana" w:cs="Arial"/>
                <w:sz w:val="16"/>
                <w:szCs w:val="16"/>
                <w:lang w:val="lt-LT"/>
              </w:rPr>
            </w:pPr>
            <w:r w:rsidRPr="008048D3">
              <w:rPr>
                <w:rFonts w:ascii="Verdana" w:hAnsi="Verdana" w:cs="Arial"/>
                <w:sz w:val="16"/>
                <w:szCs w:val="16"/>
                <w:lang w:val="lt-LT"/>
              </w:rPr>
              <w:t xml:space="preserve">Istorinės finansinės informacijos išlygos, nurodytos audito ataskaitoje </w:t>
            </w:r>
          </w:p>
          <w:p w14:paraId="21CCD984" w14:textId="356BB670" w:rsidR="008F65F5" w:rsidRPr="008048D3" w:rsidRDefault="008F65F5" w:rsidP="008F65F5">
            <w:pPr>
              <w:spacing w:after="40"/>
              <w:rPr>
                <w:rFonts w:ascii="Verdana" w:hAnsi="Verdana" w:cs="Arial"/>
                <w:sz w:val="16"/>
                <w:szCs w:val="16"/>
                <w:lang w:val="lt-LT"/>
              </w:rPr>
            </w:pPr>
          </w:p>
        </w:tc>
        <w:tc>
          <w:tcPr>
            <w:tcW w:w="4090" w:type="pct"/>
          </w:tcPr>
          <w:p w14:paraId="3C1AD2A0" w14:textId="3834CCF8" w:rsidR="00B458C1" w:rsidRPr="008048D3" w:rsidRDefault="00FD7A4A" w:rsidP="005A7B58">
            <w:pPr>
              <w:jc w:val="both"/>
              <w:rPr>
                <w:rFonts w:ascii="Verdana" w:hAnsi="Verdana" w:cs="Arial"/>
                <w:sz w:val="16"/>
                <w:szCs w:val="16"/>
                <w:lang w:val="lt-LT" w:eastAsia="lt-LT"/>
              </w:rPr>
            </w:pPr>
            <w:r w:rsidRPr="008048D3">
              <w:rPr>
                <w:rFonts w:ascii="Verdana" w:hAnsi="Verdana" w:cs="Arial"/>
                <w:sz w:val="16"/>
                <w:szCs w:val="16"/>
                <w:lang w:val="lt-LT"/>
              </w:rPr>
              <w:t>UAB „</w:t>
            </w:r>
            <w:proofErr w:type="spellStart"/>
            <w:r w:rsidR="005A29D6" w:rsidRPr="008048D3">
              <w:rPr>
                <w:rFonts w:ascii="Verdana" w:hAnsi="Verdana" w:cs="Arial"/>
                <w:sz w:val="16"/>
                <w:szCs w:val="16"/>
                <w:lang w:val="lt-LT"/>
              </w:rPr>
              <w:t>PricewaterhouseCoopers</w:t>
            </w:r>
            <w:proofErr w:type="spellEnd"/>
            <w:r w:rsidRPr="008048D3">
              <w:rPr>
                <w:rFonts w:ascii="Verdana" w:hAnsi="Verdana" w:cs="Arial"/>
                <w:sz w:val="16"/>
                <w:szCs w:val="16"/>
                <w:lang w:val="lt-LT"/>
              </w:rPr>
              <w:t>“</w:t>
            </w:r>
            <w:r w:rsidR="005A29D6" w:rsidRPr="008048D3">
              <w:rPr>
                <w:rFonts w:ascii="Verdana" w:hAnsi="Verdana" w:cs="Arial"/>
                <w:sz w:val="16"/>
                <w:szCs w:val="16"/>
                <w:lang w:val="lt-LT"/>
              </w:rPr>
              <w:t xml:space="preserve"> </w:t>
            </w:r>
            <w:r w:rsidR="0029708F" w:rsidRPr="008048D3">
              <w:rPr>
                <w:rFonts w:ascii="Verdana" w:hAnsi="Verdana" w:cs="Arial"/>
                <w:sz w:val="16"/>
                <w:szCs w:val="16"/>
                <w:lang w:val="lt-LT"/>
              </w:rPr>
              <w:t xml:space="preserve">savo auditoriaus išvadoje </w:t>
            </w:r>
            <w:r w:rsidRPr="008048D3">
              <w:rPr>
                <w:rFonts w:ascii="Verdana" w:hAnsi="Verdana" w:cs="Arial"/>
                <w:sz w:val="16"/>
                <w:szCs w:val="16"/>
                <w:lang w:val="lt-LT"/>
              </w:rPr>
              <w:t xml:space="preserve">pateikė </w:t>
            </w:r>
            <w:r w:rsidR="00B458C1" w:rsidRPr="008048D3">
              <w:rPr>
                <w:rFonts w:ascii="Verdana" w:hAnsi="Verdana" w:cs="Arial"/>
                <w:sz w:val="16"/>
                <w:szCs w:val="16"/>
                <w:lang w:val="lt-LT"/>
              </w:rPr>
              <w:t xml:space="preserve">šią </w:t>
            </w:r>
            <w:r w:rsidRPr="008048D3">
              <w:rPr>
                <w:rFonts w:ascii="Verdana" w:hAnsi="Verdana" w:cs="Arial"/>
                <w:sz w:val="16"/>
                <w:szCs w:val="16"/>
                <w:lang w:val="lt-LT"/>
              </w:rPr>
              <w:t>„</w:t>
            </w:r>
            <w:r w:rsidR="00F227EE" w:rsidRPr="008048D3">
              <w:rPr>
                <w:rFonts w:ascii="Verdana" w:hAnsi="Verdana" w:cs="Arial"/>
                <w:sz w:val="16"/>
                <w:szCs w:val="16"/>
                <w:lang w:val="lt-LT"/>
              </w:rPr>
              <w:t>d</w:t>
            </w:r>
            <w:r w:rsidRPr="008048D3">
              <w:rPr>
                <w:rFonts w:ascii="Verdana" w:hAnsi="Verdana" w:cs="Arial"/>
                <w:sz w:val="16"/>
                <w:szCs w:val="16"/>
                <w:lang w:val="lt-LT"/>
              </w:rPr>
              <w:t xml:space="preserve">alyko pabrėžimo“ pastraipą dėl </w:t>
            </w:r>
            <w:r w:rsidR="005A29D6" w:rsidRPr="008048D3">
              <w:rPr>
                <w:rFonts w:ascii="Verdana" w:hAnsi="Verdana" w:cs="Arial"/>
                <w:sz w:val="16"/>
                <w:szCs w:val="16"/>
                <w:lang w:val="lt-LT" w:eastAsia="lt-LT"/>
              </w:rPr>
              <w:t>Grup</w:t>
            </w:r>
            <w:r w:rsidRPr="008048D3">
              <w:rPr>
                <w:rFonts w:ascii="Verdana" w:hAnsi="Verdana" w:cs="Arial"/>
                <w:sz w:val="16"/>
                <w:szCs w:val="16"/>
                <w:lang w:val="lt-LT" w:eastAsia="lt-LT"/>
              </w:rPr>
              <w:t>ės</w:t>
            </w:r>
            <w:r w:rsidR="005A29D6" w:rsidRPr="008048D3">
              <w:rPr>
                <w:rFonts w:ascii="Verdana" w:hAnsi="Verdana" w:cs="Arial"/>
                <w:sz w:val="16"/>
                <w:szCs w:val="16"/>
                <w:lang w:val="lt-LT" w:eastAsia="lt-LT"/>
              </w:rPr>
              <w:t xml:space="preserve"> </w:t>
            </w:r>
            <w:r w:rsidRPr="008048D3">
              <w:rPr>
                <w:rFonts w:ascii="Verdana" w:hAnsi="Verdana" w:cs="Arial"/>
                <w:sz w:val="16"/>
                <w:szCs w:val="16"/>
                <w:lang w:val="lt-LT" w:eastAsia="lt-LT"/>
              </w:rPr>
              <w:t xml:space="preserve">ir Bendrovės konsoliduotųjų ir atskirųjų finansinių ataskaitų už </w:t>
            </w:r>
            <w:r w:rsidR="00454F84" w:rsidRPr="008048D3">
              <w:rPr>
                <w:rFonts w:ascii="Verdana" w:hAnsi="Verdana" w:cs="Arial"/>
                <w:sz w:val="16"/>
                <w:szCs w:val="16"/>
                <w:lang w:val="lt-LT" w:eastAsia="lt-LT"/>
              </w:rPr>
              <w:t>2017 m. gruodžio 31</w:t>
            </w:r>
            <w:r w:rsidRPr="008048D3">
              <w:rPr>
                <w:rFonts w:ascii="Verdana" w:hAnsi="Verdana" w:cs="Arial"/>
                <w:sz w:val="16"/>
                <w:szCs w:val="16"/>
                <w:lang w:val="lt-LT" w:eastAsia="lt-LT"/>
              </w:rPr>
              <w:t> </w:t>
            </w:r>
            <w:r w:rsidR="00454F84" w:rsidRPr="008048D3">
              <w:rPr>
                <w:rFonts w:ascii="Verdana" w:hAnsi="Verdana" w:cs="Arial"/>
                <w:sz w:val="16"/>
                <w:szCs w:val="16"/>
                <w:lang w:val="lt-LT" w:eastAsia="lt-LT"/>
              </w:rPr>
              <w:t>d.</w:t>
            </w:r>
            <w:r w:rsidRPr="008048D3">
              <w:rPr>
                <w:rFonts w:ascii="Verdana" w:hAnsi="Verdana" w:cs="Arial"/>
                <w:sz w:val="16"/>
                <w:szCs w:val="16"/>
                <w:lang w:val="lt-LT" w:eastAsia="lt-LT"/>
              </w:rPr>
              <w:t xml:space="preserve"> pasibaigusius metus</w:t>
            </w:r>
            <w:r w:rsidR="007919BA" w:rsidRPr="008048D3">
              <w:rPr>
                <w:rFonts w:ascii="Verdana" w:hAnsi="Verdana" w:cs="Arial"/>
                <w:sz w:val="16"/>
                <w:szCs w:val="16"/>
                <w:lang w:val="lt-LT" w:eastAsia="lt-LT"/>
              </w:rPr>
              <w:t>:</w:t>
            </w:r>
            <w:r w:rsidR="005A29D6" w:rsidRPr="008048D3">
              <w:rPr>
                <w:rFonts w:ascii="Verdana" w:hAnsi="Verdana" w:cs="Arial"/>
                <w:sz w:val="16"/>
                <w:szCs w:val="16"/>
                <w:lang w:val="lt-LT" w:eastAsia="lt-LT"/>
              </w:rPr>
              <w:t xml:space="preserve"> </w:t>
            </w:r>
          </w:p>
          <w:p w14:paraId="3ED8BB21" w14:textId="1B8FC9BE" w:rsidR="002D6E41" w:rsidRPr="008048D3" w:rsidRDefault="002D6E41" w:rsidP="005A7B58">
            <w:pPr>
              <w:jc w:val="both"/>
              <w:rPr>
                <w:rFonts w:ascii="Verdana" w:hAnsi="Verdana" w:cs="Arial"/>
                <w:sz w:val="16"/>
                <w:szCs w:val="16"/>
                <w:lang w:val="lt-LT" w:eastAsia="lt-LT"/>
              </w:rPr>
            </w:pPr>
          </w:p>
          <w:p w14:paraId="763B2EF3" w14:textId="7C734D78" w:rsidR="002D6E41" w:rsidRPr="008048D3" w:rsidRDefault="002D6E41" w:rsidP="005A7B58">
            <w:pPr>
              <w:jc w:val="both"/>
              <w:rPr>
                <w:rFonts w:ascii="Verdana" w:hAnsi="Verdana" w:cs="Arial"/>
                <w:i/>
                <w:sz w:val="16"/>
                <w:szCs w:val="16"/>
                <w:lang w:val="lt-LT" w:eastAsia="lt-LT"/>
              </w:rPr>
            </w:pPr>
            <w:r w:rsidRPr="008048D3">
              <w:rPr>
                <w:rFonts w:ascii="Verdana" w:hAnsi="Verdana" w:cs="Arial"/>
                <w:i/>
                <w:sz w:val="16"/>
                <w:szCs w:val="16"/>
                <w:lang w:val="lt-LT" w:eastAsia="lt-LT"/>
              </w:rPr>
              <w:t>Atkreipiame dėmesį į atskirųjų ir konsoliduotųjų finansinių ataskaitų aiškinamojo rašto 30-ą pastabą, taip pat į toliau nurodytą pagrindinį audito dalyką „Priežiūros institucijos veiksmai Bendrovės atžvilgiu“, kuriuose aprašytas neaiškumas, susijęs su teisinio ginčo tarp Bendrovės ir Lietuvos banko baigtimi. Dėl šio dalyko mūsų nuomonė nėra sąlyginė.</w:t>
            </w:r>
          </w:p>
          <w:p w14:paraId="19487210" w14:textId="77777777" w:rsidR="00B458C1" w:rsidRPr="008048D3" w:rsidRDefault="00B458C1" w:rsidP="005A7B58">
            <w:pPr>
              <w:jc w:val="both"/>
              <w:rPr>
                <w:rFonts w:ascii="Verdana" w:hAnsi="Verdana" w:cs="Arial"/>
                <w:sz w:val="16"/>
                <w:szCs w:val="16"/>
                <w:lang w:val="lt-LT" w:eastAsia="lt-LT"/>
              </w:rPr>
            </w:pPr>
          </w:p>
          <w:p w14:paraId="00F0A8B2" w14:textId="0EF59D46" w:rsidR="007919BA" w:rsidRPr="008048D3" w:rsidRDefault="007919BA" w:rsidP="007919BA">
            <w:pPr>
              <w:jc w:val="both"/>
              <w:rPr>
                <w:rFonts w:ascii="Verdana" w:hAnsi="Verdana" w:cs="Arial"/>
                <w:sz w:val="16"/>
                <w:szCs w:val="16"/>
                <w:lang w:val="lt-LT" w:eastAsia="lt-LT"/>
              </w:rPr>
            </w:pPr>
            <w:r w:rsidRPr="008048D3">
              <w:rPr>
                <w:rFonts w:ascii="Verdana" w:hAnsi="Verdana" w:cs="Arial"/>
                <w:sz w:val="16"/>
                <w:szCs w:val="16"/>
                <w:lang w:val="lt-LT"/>
              </w:rPr>
              <w:t>UAB „</w:t>
            </w:r>
            <w:proofErr w:type="spellStart"/>
            <w:r w:rsidRPr="008048D3">
              <w:rPr>
                <w:rFonts w:ascii="Verdana" w:hAnsi="Verdana" w:cs="Arial"/>
                <w:sz w:val="16"/>
                <w:szCs w:val="16"/>
                <w:lang w:val="lt-LT"/>
              </w:rPr>
              <w:t>PricewaterhouseCoopers</w:t>
            </w:r>
            <w:proofErr w:type="spellEnd"/>
            <w:r w:rsidRPr="008048D3">
              <w:rPr>
                <w:rFonts w:ascii="Verdana" w:hAnsi="Verdana" w:cs="Arial"/>
                <w:sz w:val="16"/>
                <w:szCs w:val="16"/>
                <w:lang w:val="lt-LT"/>
              </w:rPr>
              <w:t xml:space="preserve">“ savo auditoriaus išvadoje pateikė šią „dalyko pabrėžimo“ pastraipą dėl </w:t>
            </w:r>
            <w:r w:rsidRPr="008048D3">
              <w:rPr>
                <w:rFonts w:ascii="Verdana" w:hAnsi="Verdana" w:cs="Arial"/>
                <w:sz w:val="16"/>
                <w:szCs w:val="16"/>
                <w:lang w:val="lt-LT" w:eastAsia="lt-LT"/>
              </w:rPr>
              <w:t xml:space="preserve">Grupės ir Bendrovės konsoliduotųjų ir atskirųjų finansinių ataskaitų už 2016 m. gruodžio 31 d. pasibaigusius metus: </w:t>
            </w:r>
          </w:p>
          <w:p w14:paraId="6D5038FA" w14:textId="77777777" w:rsidR="005A7B58" w:rsidRPr="008048D3" w:rsidRDefault="005A7B58" w:rsidP="005A7B58">
            <w:pPr>
              <w:jc w:val="both"/>
              <w:rPr>
                <w:rFonts w:ascii="Verdana" w:hAnsi="Verdana" w:cs="Arial"/>
                <w:sz w:val="16"/>
                <w:szCs w:val="16"/>
                <w:lang w:val="lt-LT" w:eastAsia="lt-LT"/>
              </w:rPr>
            </w:pPr>
          </w:p>
          <w:p w14:paraId="39A6C1E9" w14:textId="5023A16A" w:rsidR="005A7B58" w:rsidRPr="008048D3" w:rsidRDefault="00466258" w:rsidP="005A7B58">
            <w:pPr>
              <w:jc w:val="both"/>
              <w:rPr>
                <w:rFonts w:ascii="Verdana" w:hAnsi="Verdana" w:cs="Arial"/>
                <w:i/>
                <w:sz w:val="16"/>
                <w:szCs w:val="16"/>
                <w:lang w:val="lt-LT" w:eastAsia="lt-LT"/>
              </w:rPr>
            </w:pPr>
            <w:r w:rsidRPr="008048D3">
              <w:rPr>
                <w:rFonts w:ascii="Verdana" w:hAnsi="Verdana" w:cs="Arial"/>
                <w:i/>
                <w:sz w:val="16"/>
                <w:szCs w:val="16"/>
                <w:lang w:val="lt-LT"/>
              </w:rPr>
              <w:t xml:space="preserve">Atkreipiame dėmesį į atskirųjų ir konsoliduotųjų finansinių ataskaitų aiškinamojo rašto 30-ą pastabą, taip pat į toliau nurodytą pagrindinį audito dalyką „Priežiūros institucijos veiksmai Bendrovės atžvilgiu“, kuriuose aprašytas neaiškumas, susijęs su teisinio ginčo tarp Bendrovės ir Lietuvos banko baigtimi. Dėl šio dalyko mūsų nuomonė nėra </w:t>
            </w:r>
            <w:r w:rsidR="007919BA" w:rsidRPr="008048D3">
              <w:rPr>
                <w:rFonts w:ascii="Verdana" w:hAnsi="Verdana" w:cs="Arial"/>
                <w:i/>
                <w:sz w:val="16"/>
                <w:szCs w:val="16"/>
                <w:lang w:val="lt-LT"/>
              </w:rPr>
              <w:t>modifikuota</w:t>
            </w:r>
            <w:r w:rsidRPr="008048D3">
              <w:rPr>
                <w:rFonts w:ascii="Verdana" w:hAnsi="Verdana" w:cs="Arial"/>
                <w:i/>
                <w:sz w:val="16"/>
                <w:szCs w:val="16"/>
                <w:lang w:val="lt-LT"/>
              </w:rPr>
              <w:t>.</w:t>
            </w:r>
          </w:p>
          <w:p w14:paraId="4D69E17C" w14:textId="77777777" w:rsidR="005A7B58" w:rsidRPr="008048D3" w:rsidRDefault="005A7B58" w:rsidP="005A7B58">
            <w:pPr>
              <w:jc w:val="both"/>
              <w:rPr>
                <w:rFonts w:ascii="Verdana" w:hAnsi="Verdana" w:cs="Arial"/>
                <w:i/>
                <w:sz w:val="16"/>
                <w:szCs w:val="16"/>
                <w:lang w:val="lt-LT"/>
              </w:rPr>
            </w:pPr>
          </w:p>
          <w:p w14:paraId="4EAD663F" w14:textId="244BF9FA" w:rsidR="005A7B58" w:rsidRPr="008048D3" w:rsidRDefault="008F1B50" w:rsidP="007919BA">
            <w:pPr>
              <w:jc w:val="both"/>
              <w:rPr>
                <w:rFonts w:ascii="Verdana" w:hAnsi="Verdana" w:cs="Arial"/>
                <w:sz w:val="16"/>
                <w:szCs w:val="16"/>
                <w:lang w:val="lt-LT" w:eastAsia="lt-LT"/>
              </w:rPr>
            </w:pPr>
            <w:r w:rsidRPr="008048D3">
              <w:rPr>
                <w:rFonts w:ascii="Verdana" w:hAnsi="Verdana" w:cs="Arial"/>
                <w:sz w:val="16"/>
                <w:szCs w:val="16"/>
                <w:lang w:val="lt-LT"/>
              </w:rPr>
              <w:t>„</w:t>
            </w:r>
            <w:r w:rsidR="005A7B58" w:rsidRPr="008048D3">
              <w:rPr>
                <w:rFonts w:ascii="Verdana" w:hAnsi="Verdana" w:cs="Arial"/>
                <w:sz w:val="16"/>
                <w:szCs w:val="16"/>
                <w:lang w:val="lt-LT"/>
              </w:rPr>
              <w:t xml:space="preserve">KPMG </w:t>
            </w:r>
            <w:proofErr w:type="spellStart"/>
            <w:r w:rsidR="005A7B58" w:rsidRPr="008048D3">
              <w:rPr>
                <w:rFonts w:ascii="Verdana" w:hAnsi="Verdana" w:cs="Arial"/>
                <w:sz w:val="16"/>
                <w:szCs w:val="16"/>
                <w:lang w:val="lt-LT"/>
              </w:rPr>
              <w:t>Baltics</w:t>
            </w:r>
            <w:proofErr w:type="spellEnd"/>
            <w:r w:rsidRPr="008048D3">
              <w:rPr>
                <w:rFonts w:ascii="Verdana" w:hAnsi="Verdana" w:cs="Arial"/>
                <w:sz w:val="16"/>
                <w:szCs w:val="16"/>
                <w:lang w:val="lt-LT"/>
              </w:rPr>
              <w:t>“,</w:t>
            </w:r>
            <w:r w:rsidR="005A7B58" w:rsidRPr="008048D3">
              <w:rPr>
                <w:rFonts w:ascii="Verdana" w:hAnsi="Verdana" w:cs="Arial"/>
                <w:sz w:val="16"/>
                <w:szCs w:val="16"/>
                <w:lang w:val="lt-LT"/>
              </w:rPr>
              <w:t xml:space="preserve"> UAB </w:t>
            </w:r>
            <w:r w:rsidRPr="008048D3">
              <w:rPr>
                <w:rFonts w:ascii="Verdana" w:hAnsi="Verdana" w:cs="Arial"/>
                <w:sz w:val="16"/>
                <w:szCs w:val="16"/>
                <w:lang w:val="lt-LT"/>
              </w:rPr>
              <w:t xml:space="preserve">pateikė </w:t>
            </w:r>
            <w:r w:rsidR="00E17BDB" w:rsidRPr="008048D3">
              <w:rPr>
                <w:rFonts w:ascii="Verdana" w:hAnsi="Verdana" w:cs="Arial"/>
                <w:sz w:val="16"/>
                <w:szCs w:val="16"/>
                <w:lang w:val="lt-LT"/>
              </w:rPr>
              <w:t xml:space="preserve">šią </w:t>
            </w:r>
            <w:r w:rsidR="00032851" w:rsidRPr="008048D3">
              <w:rPr>
                <w:rFonts w:ascii="Verdana" w:hAnsi="Verdana" w:cs="Arial"/>
                <w:sz w:val="16"/>
                <w:szCs w:val="16"/>
                <w:lang w:val="lt-LT"/>
              </w:rPr>
              <w:t xml:space="preserve">„dalyko pabrėžimo“ pastraipą </w:t>
            </w:r>
            <w:r w:rsidRPr="008048D3">
              <w:rPr>
                <w:rFonts w:ascii="Verdana" w:hAnsi="Verdana" w:cs="Arial"/>
                <w:sz w:val="16"/>
                <w:szCs w:val="16"/>
                <w:lang w:val="lt-LT"/>
              </w:rPr>
              <w:t xml:space="preserve">apie </w:t>
            </w:r>
            <w:r w:rsidRPr="008048D3">
              <w:rPr>
                <w:rFonts w:ascii="Verdana" w:hAnsi="Verdana" w:cs="Arial"/>
                <w:sz w:val="16"/>
                <w:szCs w:val="16"/>
                <w:lang w:val="lt-LT" w:eastAsia="lt-LT"/>
              </w:rPr>
              <w:t>Grupės ir Bendrovės konsoliduotąsias ir atskirąsias finansines ataskaitas už 2015 m. gruodžio 31 d. pasibaigusius metus</w:t>
            </w:r>
            <w:r w:rsidR="00E17BDB" w:rsidRPr="008048D3">
              <w:rPr>
                <w:rFonts w:ascii="Verdana" w:hAnsi="Verdana" w:cs="Arial"/>
                <w:sz w:val="16"/>
                <w:szCs w:val="16"/>
                <w:lang w:val="lt-LT" w:eastAsia="lt-LT"/>
              </w:rPr>
              <w:t>:</w:t>
            </w:r>
          </w:p>
          <w:p w14:paraId="6D385EDE" w14:textId="77777777" w:rsidR="005A7B58" w:rsidRPr="008048D3" w:rsidRDefault="005A7B58" w:rsidP="005A7B58">
            <w:pPr>
              <w:jc w:val="both"/>
              <w:rPr>
                <w:rFonts w:ascii="Verdana" w:hAnsi="Verdana" w:cs="Arial"/>
                <w:sz w:val="16"/>
                <w:szCs w:val="16"/>
                <w:lang w:val="lt-LT" w:eastAsia="lt-LT"/>
              </w:rPr>
            </w:pPr>
          </w:p>
          <w:p w14:paraId="3C437C08" w14:textId="77777777" w:rsidR="008F65F5" w:rsidRPr="008048D3" w:rsidRDefault="00550D8D" w:rsidP="005A7B58">
            <w:pPr>
              <w:spacing w:after="40"/>
              <w:jc w:val="both"/>
              <w:rPr>
                <w:rFonts w:ascii="Verdana" w:hAnsi="Verdana" w:cs="Arial"/>
                <w:i/>
                <w:sz w:val="16"/>
                <w:szCs w:val="16"/>
                <w:lang w:val="lt-LT" w:eastAsia="lt-LT"/>
              </w:rPr>
            </w:pPr>
            <w:r w:rsidRPr="008048D3">
              <w:rPr>
                <w:rFonts w:ascii="Verdana" w:hAnsi="Verdana" w:cs="Arial"/>
                <w:i/>
                <w:sz w:val="16"/>
                <w:szCs w:val="16"/>
                <w:lang w:val="lt-LT" w:eastAsia="lt-LT"/>
              </w:rPr>
              <w:t>Nesąlygodami savo nuomonės apie atskiras ir konsoliduotas finansines ataskaitas, atkreipiame dėmesį į 31 pastabą, kurioje atskleista, kad AB „</w:t>
            </w:r>
            <w:proofErr w:type="spellStart"/>
            <w:r w:rsidR="005A7B58" w:rsidRPr="008048D3">
              <w:rPr>
                <w:rFonts w:ascii="Verdana" w:hAnsi="Verdana" w:cs="Arial"/>
                <w:i/>
                <w:sz w:val="16"/>
                <w:szCs w:val="16"/>
                <w:lang w:val="lt-LT" w:eastAsia="lt-LT"/>
              </w:rPr>
              <w:t>Agrowill</w:t>
            </w:r>
            <w:proofErr w:type="spellEnd"/>
            <w:r w:rsidR="005A7B58" w:rsidRPr="008048D3">
              <w:rPr>
                <w:rFonts w:ascii="Verdana" w:hAnsi="Verdana" w:cs="Arial"/>
                <w:i/>
                <w:sz w:val="16"/>
                <w:szCs w:val="16"/>
                <w:lang w:val="lt-LT" w:eastAsia="lt-LT"/>
              </w:rPr>
              <w:t xml:space="preserve"> Group</w:t>
            </w:r>
            <w:r w:rsidRPr="008048D3">
              <w:rPr>
                <w:rFonts w:ascii="Verdana" w:hAnsi="Verdana" w:cs="Arial"/>
                <w:i/>
                <w:sz w:val="16"/>
                <w:szCs w:val="16"/>
                <w:lang w:val="lt-LT" w:eastAsia="lt-LT"/>
              </w:rPr>
              <w:t>“</w:t>
            </w:r>
            <w:r w:rsidR="00E17BDB" w:rsidRPr="008048D3">
              <w:rPr>
                <w:rStyle w:val="FootnoteReference"/>
                <w:rFonts w:ascii="Verdana" w:hAnsi="Verdana" w:cs="Arial"/>
                <w:i/>
                <w:sz w:val="16"/>
                <w:szCs w:val="16"/>
                <w:lang w:val="lt-LT" w:eastAsia="lt-LT"/>
              </w:rPr>
              <w:footnoteReference w:id="5"/>
            </w:r>
            <w:r w:rsidR="005A7B58" w:rsidRPr="008048D3">
              <w:rPr>
                <w:rFonts w:ascii="Verdana" w:hAnsi="Verdana" w:cs="Arial"/>
                <w:i/>
                <w:sz w:val="16"/>
                <w:szCs w:val="16"/>
                <w:lang w:val="lt-LT" w:eastAsia="lt-LT"/>
              </w:rPr>
              <w:t xml:space="preserve"> </w:t>
            </w:r>
            <w:r w:rsidRPr="008048D3">
              <w:rPr>
                <w:rFonts w:ascii="Verdana" w:hAnsi="Verdana" w:cs="Arial"/>
                <w:i/>
                <w:sz w:val="16"/>
                <w:szCs w:val="16"/>
                <w:lang w:val="lt-LT" w:eastAsia="lt-LT"/>
              </w:rPr>
              <w:t xml:space="preserve">gavo 2016 m. vasario 15 d. Lietuvos banko Priežiūros tarnybos sprendimą </w:t>
            </w:r>
            <w:r w:rsidR="005A7B58" w:rsidRPr="008048D3">
              <w:rPr>
                <w:rFonts w:ascii="Verdana" w:hAnsi="Verdana" w:cs="Arial"/>
                <w:i/>
                <w:sz w:val="16"/>
                <w:szCs w:val="16"/>
                <w:lang w:val="lt-LT" w:eastAsia="lt-LT"/>
              </w:rPr>
              <w:t>N</w:t>
            </w:r>
            <w:r w:rsidRPr="008048D3">
              <w:rPr>
                <w:rFonts w:ascii="Verdana" w:hAnsi="Verdana" w:cs="Arial"/>
                <w:i/>
                <w:sz w:val="16"/>
                <w:szCs w:val="16"/>
                <w:lang w:val="lt-LT" w:eastAsia="lt-LT"/>
              </w:rPr>
              <w:t>r</w:t>
            </w:r>
            <w:r w:rsidR="005A7B58" w:rsidRPr="008048D3">
              <w:rPr>
                <w:rFonts w:ascii="Verdana" w:hAnsi="Verdana" w:cs="Arial"/>
                <w:i/>
                <w:sz w:val="16"/>
                <w:szCs w:val="16"/>
                <w:lang w:val="lt-LT" w:eastAsia="lt-LT"/>
              </w:rPr>
              <w:t xml:space="preserve">. 241-38. </w:t>
            </w:r>
            <w:r w:rsidRPr="008048D3">
              <w:rPr>
                <w:rFonts w:ascii="Verdana" w:hAnsi="Verdana" w:cs="Arial"/>
                <w:i/>
                <w:sz w:val="16"/>
                <w:szCs w:val="16"/>
                <w:lang w:val="lt-LT" w:eastAsia="lt-LT"/>
              </w:rPr>
              <w:t xml:space="preserve">Vadovybė nesutiko su Lietuvos banko Priežiūros tarnybos pozicija, įskaitant klausimą dėl </w:t>
            </w:r>
            <w:r w:rsidR="005A7B58" w:rsidRPr="008048D3">
              <w:rPr>
                <w:rFonts w:ascii="Verdana" w:hAnsi="Verdana" w:cs="Arial"/>
                <w:i/>
                <w:sz w:val="16"/>
                <w:szCs w:val="16"/>
                <w:lang w:val="lt-LT" w:eastAsia="lt-LT"/>
              </w:rPr>
              <w:t xml:space="preserve">UAB </w:t>
            </w:r>
            <w:r w:rsidRPr="008048D3">
              <w:rPr>
                <w:rFonts w:ascii="Verdana" w:hAnsi="Verdana" w:cs="Arial"/>
                <w:i/>
                <w:sz w:val="16"/>
                <w:szCs w:val="16"/>
                <w:lang w:val="lt-LT" w:eastAsia="lt-LT"/>
              </w:rPr>
              <w:t>„</w:t>
            </w:r>
            <w:proofErr w:type="spellStart"/>
            <w:r w:rsidR="005A7B58" w:rsidRPr="008048D3">
              <w:rPr>
                <w:rFonts w:ascii="Verdana" w:hAnsi="Verdana" w:cs="Arial"/>
                <w:i/>
                <w:sz w:val="16"/>
                <w:szCs w:val="16"/>
                <w:lang w:val="lt-LT" w:eastAsia="lt-LT"/>
              </w:rPr>
              <w:t>eTime</w:t>
            </w:r>
            <w:proofErr w:type="spellEnd"/>
            <w:r w:rsidR="005A7B58" w:rsidRPr="008048D3">
              <w:rPr>
                <w:rFonts w:ascii="Verdana" w:hAnsi="Verdana" w:cs="Arial"/>
                <w:i/>
                <w:sz w:val="16"/>
                <w:szCs w:val="16"/>
                <w:lang w:val="lt-LT" w:eastAsia="lt-LT"/>
              </w:rPr>
              <w:t xml:space="preserve"> </w:t>
            </w:r>
            <w:proofErr w:type="spellStart"/>
            <w:r w:rsidR="005A7B58" w:rsidRPr="008048D3">
              <w:rPr>
                <w:rFonts w:ascii="Verdana" w:hAnsi="Verdana" w:cs="Arial"/>
                <w:i/>
                <w:sz w:val="16"/>
                <w:szCs w:val="16"/>
                <w:lang w:val="lt-LT" w:eastAsia="lt-LT"/>
              </w:rPr>
              <w:t>Invest</w:t>
            </w:r>
            <w:proofErr w:type="spellEnd"/>
            <w:r w:rsidRPr="008048D3">
              <w:rPr>
                <w:rFonts w:ascii="Verdana" w:hAnsi="Verdana" w:cs="Arial"/>
                <w:i/>
                <w:sz w:val="16"/>
                <w:szCs w:val="16"/>
                <w:lang w:val="lt-LT" w:eastAsia="lt-LT"/>
              </w:rPr>
              <w:t>“ akcijų, kurias vienas Bendrovės akcininkas panaudojo kaip nepiniginį įnašą didinant AB „</w:t>
            </w:r>
            <w:proofErr w:type="spellStart"/>
            <w:r w:rsidR="005A7B58" w:rsidRPr="008048D3">
              <w:rPr>
                <w:rFonts w:ascii="Verdana" w:hAnsi="Verdana" w:cs="Arial"/>
                <w:i/>
                <w:sz w:val="16"/>
                <w:szCs w:val="16"/>
                <w:lang w:val="lt-LT" w:eastAsia="lt-LT"/>
              </w:rPr>
              <w:t>Agrowill</w:t>
            </w:r>
            <w:proofErr w:type="spellEnd"/>
            <w:r w:rsidR="005A7B58" w:rsidRPr="008048D3">
              <w:rPr>
                <w:rFonts w:ascii="Verdana" w:hAnsi="Verdana" w:cs="Arial"/>
                <w:i/>
                <w:sz w:val="16"/>
                <w:szCs w:val="16"/>
                <w:lang w:val="lt-LT" w:eastAsia="lt-LT"/>
              </w:rPr>
              <w:t xml:space="preserve"> Group</w:t>
            </w:r>
            <w:r w:rsidRPr="008048D3">
              <w:rPr>
                <w:rFonts w:ascii="Verdana" w:hAnsi="Verdana" w:cs="Arial"/>
                <w:i/>
                <w:sz w:val="16"/>
                <w:szCs w:val="16"/>
                <w:lang w:val="lt-LT" w:eastAsia="lt-LT"/>
              </w:rPr>
              <w:t>“</w:t>
            </w:r>
            <w:r w:rsidR="005A7B58" w:rsidRPr="008048D3">
              <w:rPr>
                <w:rFonts w:ascii="Verdana" w:hAnsi="Verdana" w:cs="Arial"/>
                <w:i/>
                <w:sz w:val="16"/>
                <w:szCs w:val="16"/>
                <w:lang w:val="lt-LT" w:eastAsia="lt-LT"/>
              </w:rPr>
              <w:t xml:space="preserve"> </w:t>
            </w:r>
            <w:r w:rsidRPr="008048D3">
              <w:rPr>
                <w:rFonts w:ascii="Verdana" w:hAnsi="Verdana" w:cs="Arial"/>
                <w:i/>
                <w:sz w:val="16"/>
                <w:szCs w:val="16"/>
                <w:lang w:val="lt-LT" w:eastAsia="lt-LT"/>
              </w:rPr>
              <w:t>įstatinį kapitalą</w:t>
            </w:r>
            <w:r w:rsidR="005A7B58" w:rsidRPr="008048D3">
              <w:rPr>
                <w:rFonts w:ascii="Verdana" w:hAnsi="Verdana" w:cs="Arial"/>
                <w:i/>
                <w:sz w:val="16"/>
                <w:szCs w:val="16"/>
                <w:lang w:val="lt-LT" w:eastAsia="lt-LT"/>
              </w:rPr>
              <w:t xml:space="preserve">, </w:t>
            </w:r>
            <w:r w:rsidRPr="008048D3">
              <w:rPr>
                <w:rFonts w:ascii="Verdana" w:hAnsi="Verdana" w:cs="Arial"/>
                <w:i/>
                <w:sz w:val="16"/>
                <w:szCs w:val="16"/>
                <w:lang w:val="lt-LT" w:eastAsia="lt-LT"/>
              </w:rPr>
              <w:t>vertinimo ir pateikė skundą ginčydama Lietuvos banko Priežiūros tarnybos sprendimą teismui</w:t>
            </w:r>
            <w:r w:rsidR="005A7B58" w:rsidRPr="008048D3">
              <w:rPr>
                <w:rFonts w:ascii="Verdana" w:hAnsi="Verdana" w:cs="Arial"/>
                <w:i/>
                <w:sz w:val="16"/>
                <w:szCs w:val="16"/>
                <w:lang w:val="lt-LT" w:eastAsia="lt-LT"/>
              </w:rPr>
              <w:t xml:space="preserve">. </w:t>
            </w:r>
            <w:r w:rsidRPr="008048D3">
              <w:rPr>
                <w:rFonts w:ascii="Verdana" w:hAnsi="Verdana" w:cs="Arial"/>
                <w:i/>
                <w:sz w:val="16"/>
                <w:szCs w:val="16"/>
                <w:lang w:val="lt-LT" w:eastAsia="lt-LT"/>
              </w:rPr>
              <w:t xml:space="preserve">Kaip paaiškinta </w:t>
            </w:r>
            <w:r w:rsidR="005A7B58" w:rsidRPr="008048D3">
              <w:rPr>
                <w:rFonts w:ascii="Verdana" w:hAnsi="Verdana" w:cs="Arial"/>
                <w:i/>
                <w:sz w:val="16"/>
                <w:szCs w:val="16"/>
                <w:lang w:val="lt-LT" w:eastAsia="lt-LT"/>
              </w:rPr>
              <w:t>31</w:t>
            </w:r>
            <w:r w:rsidRPr="008048D3">
              <w:rPr>
                <w:rFonts w:ascii="Verdana" w:hAnsi="Verdana" w:cs="Arial"/>
                <w:i/>
                <w:sz w:val="16"/>
                <w:szCs w:val="16"/>
                <w:lang w:val="lt-LT" w:eastAsia="lt-LT"/>
              </w:rPr>
              <w:t xml:space="preserve"> pastaboje</w:t>
            </w:r>
            <w:r w:rsidR="005A7B58" w:rsidRPr="008048D3">
              <w:rPr>
                <w:rFonts w:ascii="Verdana" w:hAnsi="Verdana" w:cs="Arial"/>
                <w:i/>
                <w:sz w:val="16"/>
                <w:szCs w:val="16"/>
                <w:lang w:val="lt-LT" w:eastAsia="lt-LT"/>
              </w:rPr>
              <w:t xml:space="preserve">, </w:t>
            </w:r>
            <w:r w:rsidR="007C4B08" w:rsidRPr="008048D3">
              <w:rPr>
                <w:rFonts w:ascii="Verdana" w:hAnsi="Verdana" w:cs="Arial"/>
                <w:i/>
                <w:sz w:val="16"/>
                <w:szCs w:val="16"/>
                <w:lang w:val="lt-LT" w:eastAsia="lt-LT"/>
              </w:rPr>
              <w:t>galutinė dalyko baigtis ir jo pasekmės šiuo metu negali būti įvertintos</w:t>
            </w:r>
            <w:r w:rsidR="005A7B58" w:rsidRPr="008048D3">
              <w:rPr>
                <w:rFonts w:ascii="Verdana" w:hAnsi="Verdana" w:cs="Arial"/>
                <w:i/>
                <w:sz w:val="16"/>
                <w:szCs w:val="16"/>
                <w:lang w:val="lt-LT" w:eastAsia="lt-LT"/>
              </w:rPr>
              <w:t>.</w:t>
            </w:r>
          </w:p>
          <w:p w14:paraId="2E8572B0" w14:textId="77777777" w:rsidR="007D2538" w:rsidRPr="008048D3" w:rsidRDefault="007D2538" w:rsidP="005A7B58">
            <w:pPr>
              <w:spacing w:after="40"/>
              <w:jc w:val="both"/>
              <w:rPr>
                <w:rFonts w:ascii="Verdana" w:hAnsi="Verdana" w:cs="Arial"/>
                <w:sz w:val="16"/>
                <w:szCs w:val="16"/>
                <w:lang w:val="lt-LT"/>
              </w:rPr>
            </w:pPr>
          </w:p>
          <w:p w14:paraId="4AC173DF" w14:textId="742936AE" w:rsidR="007D2538" w:rsidRPr="008048D3" w:rsidRDefault="007D2538" w:rsidP="005A7B58">
            <w:pPr>
              <w:spacing w:after="40"/>
              <w:jc w:val="both"/>
              <w:rPr>
                <w:rFonts w:ascii="Verdana" w:hAnsi="Verdana" w:cs="Arial"/>
                <w:sz w:val="16"/>
                <w:szCs w:val="16"/>
                <w:lang w:val="lt-LT"/>
              </w:rPr>
            </w:pPr>
            <w:r w:rsidRPr="008048D3">
              <w:rPr>
                <w:rFonts w:ascii="Verdana" w:hAnsi="Verdana" w:cs="Arial"/>
                <w:sz w:val="16"/>
                <w:szCs w:val="16"/>
                <w:lang w:val="lt-LT"/>
              </w:rPr>
              <w:t>Bendrovė pažymi, kad 2018 m. gegužės 18 d. buvo baigtas pakartotinis UAB „</w:t>
            </w:r>
            <w:proofErr w:type="spellStart"/>
            <w:r w:rsidRPr="008048D3">
              <w:rPr>
                <w:rFonts w:ascii="Verdana" w:hAnsi="Verdana" w:cs="Arial"/>
                <w:sz w:val="16"/>
                <w:szCs w:val="16"/>
                <w:lang w:val="lt-LT"/>
              </w:rPr>
              <w:t>eTime</w:t>
            </w:r>
            <w:proofErr w:type="spellEnd"/>
            <w:r w:rsidRPr="008048D3">
              <w:rPr>
                <w:rFonts w:ascii="Verdana" w:hAnsi="Verdana" w:cs="Arial"/>
                <w:sz w:val="16"/>
                <w:szCs w:val="16"/>
                <w:lang w:val="lt-LT"/>
              </w:rPr>
              <w:t xml:space="preserve"> </w:t>
            </w:r>
            <w:proofErr w:type="spellStart"/>
            <w:r w:rsidRPr="008048D3">
              <w:rPr>
                <w:rFonts w:ascii="Verdana" w:hAnsi="Verdana" w:cs="Arial"/>
                <w:sz w:val="16"/>
                <w:szCs w:val="16"/>
                <w:lang w:val="lt-LT"/>
              </w:rPr>
              <w:t>invest</w:t>
            </w:r>
            <w:proofErr w:type="spellEnd"/>
            <w:r w:rsidRPr="008048D3">
              <w:rPr>
                <w:rFonts w:ascii="Verdana" w:hAnsi="Verdana" w:cs="Arial"/>
                <w:sz w:val="16"/>
                <w:szCs w:val="16"/>
                <w:lang w:val="lt-LT"/>
              </w:rPr>
              <w:t>“ 100</w:t>
            </w:r>
            <w:r w:rsidR="00EA708B" w:rsidRPr="008048D3">
              <w:rPr>
                <w:rFonts w:ascii="Verdana" w:hAnsi="Verdana"/>
                <w:sz w:val="16"/>
                <w:szCs w:val="16"/>
                <w:lang w:val="lt-LT"/>
              </w:rPr>
              <w:t>%</w:t>
            </w:r>
            <w:r w:rsidRPr="008048D3">
              <w:rPr>
                <w:rFonts w:ascii="Verdana" w:hAnsi="Verdana" w:cs="Arial"/>
                <w:sz w:val="16"/>
                <w:szCs w:val="16"/>
                <w:lang w:val="lt-LT"/>
              </w:rPr>
              <w:t xml:space="preserve"> akcijų paketo retrospektyvinis vertinimas ir UAB „</w:t>
            </w:r>
            <w:proofErr w:type="spellStart"/>
            <w:r w:rsidRPr="008048D3">
              <w:rPr>
                <w:rFonts w:ascii="Verdana" w:hAnsi="Verdana" w:cs="Arial"/>
                <w:sz w:val="16"/>
                <w:szCs w:val="16"/>
                <w:lang w:val="lt-LT"/>
              </w:rPr>
              <w:t>Newsec</w:t>
            </w:r>
            <w:proofErr w:type="spellEnd"/>
            <w:r w:rsidRPr="008048D3">
              <w:rPr>
                <w:rFonts w:ascii="Verdana" w:hAnsi="Verdana" w:cs="Arial"/>
                <w:sz w:val="16"/>
                <w:szCs w:val="16"/>
                <w:lang w:val="lt-LT"/>
              </w:rPr>
              <w:t xml:space="preserve"> </w:t>
            </w:r>
            <w:proofErr w:type="spellStart"/>
            <w:r w:rsidRPr="008048D3">
              <w:rPr>
                <w:rFonts w:ascii="Verdana" w:hAnsi="Verdana" w:cs="Arial"/>
                <w:sz w:val="16"/>
                <w:szCs w:val="16"/>
                <w:lang w:val="lt-LT"/>
              </w:rPr>
              <w:t>valuations</w:t>
            </w:r>
            <w:proofErr w:type="spellEnd"/>
            <w:r w:rsidRPr="008048D3">
              <w:rPr>
                <w:rFonts w:ascii="Verdana" w:hAnsi="Verdana" w:cs="Arial"/>
                <w:sz w:val="16"/>
                <w:szCs w:val="16"/>
                <w:lang w:val="lt-LT"/>
              </w:rPr>
              <w:t>“ pateikė naują vertinimo ataskaitą. Audito, apskaitos, turto vertinimo ir nemokumo valdymo tarnyba prie Lietuvos Respublikos finansų ministerijos patikrin</w:t>
            </w:r>
            <w:r w:rsidR="00202799" w:rsidRPr="008048D3">
              <w:rPr>
                <w:rFonts w:ascii="Verdana" w:hAnsi="Verdana" w:cs="Arial"/>
                <w:sz w:val="16"/>
                <w:szCs w:val="16"/>
                <w:lang w:val="lt-LT"/>
              </w:rPr>
              <w:t>o atitinkamą</w:t>
            </w:r>
            <w:r w:rsidRPr="008048D3">
              <w:rPr>
                <w:rFonts w:ascii="Verdana" w:hAnsi="Verdana" w:cs="Arial"/>
                <w:sz w:val="16"/>
                <w:szCs w:val="16"/>
                <w:lang w:val="lt-LT"/>
              </w:rPr>
              <w:t xml:space="preserve"> 2018 m. gegužės 18 d. UAB „</w:t>
            </w:r>
            <w:proofErr w:type="spellStart"/>
            <w:r w:rsidRPr="008048D3">
              <w:rPr>
                <w:rFonts w:ascii="Verdana" w:hAnsi="Verdana" w:cs="Arial"/>
                <w:sz w:val="16"/>
                <w:szCs w:val="16"/>
                <w:lang w:val="lt-LT"/>
              </w:rPr>
              <w:t>eTime</w:t>
            </w:r>
            <w:proofErr w:type="spellEnd"/>
            <w:r w:rsidRPr="008048D3">
              <w:rPr>
                <w:rFonts w:ascii="Verdana" w:hAnsi="Verdana" w:cs="Arial"/>
                <w:sz w:val="16"/>
                <w:szCs w:val="16"/>
                <w:lang w:val="lt-LT"/>
              </w:rPr>
              <w:t xml:space="preserve"> </w:t>
            </w:r>
            <w:proofErr w:type="spellStart"/>
            <w:r w:rsidRPr="008048D3">
              <w:rPr>
                <w:rFonts w:ascii="Verdana" w:hAnsi="Verdana" w:cs="Arial"/>
                <w:sz w:val="16"/>
                <w:szCs w:val="16"/>
                <w:lang w:val="lt-LT"/>
              </w:rPr>
              <w:t>invest</w:t>
            </w:r>
            <w:proofErr w:type="spellEnd"/>
            <w:r w:rsidRPr="008048D3">
              <w:rPr>
                <w:rFonts w:ascii="Verdana" w:hAnsi="Verdana" w:cs="Arial"/>
                <w:sz w:val="16"/>
                <w:szCs w:val="16"/>
                <w:lang w:val="lt-LT"/>
              </w:rPr>
              <w:t>“ 100</w:t>
            </w:r>
            <w:r w:rsidR="00EA708B" w:rsidRPr="008048D3">
              <w:rPr>
                <w:rFonts w:ascii="Verdana" w:hAnsi="Verdana"/>
                <w:sz w:val="16"/>
                <w:szCs w:val="16"/>
                <w:lang w:val="lt-LT"/>
              </w:rPr>
              <w:t>%</w:t>
            </w:r>
            <w:r w:rsidRPr="008048D3">
              <w:rPr>
                <w:rFonts w:ascii="Verdana" w:hAnsi="Verdana" w:cs="Arial"/>
                <w:sz w:val="16"/>
                <w:szCs w:val="16"/>
                <w:lang w:val="lt-LT"/>
              </w:rPr>
              <w:t xml:space="preserve"> akcijų paketo retrospektyvinio vertinimo ataskaitą </w:t>
            </w:r>
            <w:r w:rsidR="00202799" w:rsidRPr="008048D3">
              <w:rPr>
                <w:rFonts w:ascii="Verdana" w:hAnsi="Verdana" w:cs="Arial"/>
                <w:sz w:val="16"/>
                <w:szCs w:val="16"/>
                <w:lang w:val="lt-LT"/>
              </w:rPr>
              <w:t>ir</w:t>
            </w:r>
            <w:r w:rsidRPr="008048D3">
              <w:rPr>
                <w:rFonts w:ascii="Verdana" w:hAnsi="Verdana" w:cs="Arial"/>
                <w:sz w:val="16"/>
                <w:szCs w:val="16"/>
                <w:lang w:val="lt-LT"/>
              </w:rPr>
              <w:t xml:space="preserve"> </w:t>
            </w:r>
            <w:r w:rsidR="00202799" w:rsidRPr="008048D3">
              <w:rPr>
                <w:rFonts w:ascii="Verdana" w:hAnsi="Verdana" w:cs="Arial"/>
                <w:sz w:val="16"/>
                <w:szCs w:val="16"/>
                <w:lang w:val="lt-LT"/>
              </w:rPr>
              <w:t xml:space="preserve">2018 m. birželio 11 d. </w:t>
            </w:r>
            <w:r w:rsidRPr="008048D3">
              <w:rPr>
                <w:rFonts w:ascii="Verdana" w:hAnsi="Verdana" w:cs="Arial"/>
                <w:sz w:val="16"/>
                <w:szCs w:val="16"/>
                <w:lang w:val="lt-LT"/>
              </w:rPr>
              <w:t>nustat</w:t>
            </w:r>
            <w:r w:rsidR="00202799" w:rsidRPr="008048D3">
              <w:rPr>
                <w:rFonts w:ascii="Verdana" w:hAnsi="Verdana" w:cs="Arial"/>
                <w:sz w:val="16"/>
                <w:szCs w:val="16"/>
                <w:lang w:val="lt-LT"/>
              </w:rPr>
              <w:t>ė</w:t>
            </w:r>
            <w:r w:rsidRPr="008048D3">
              <w:rPr>
                <w:rFonts w:ascii="Verdana" w:hAnsi="Verdana" w:cs="Arial"/>
                <w:sz w:val="16"/>
                <w:szCs w:val="16"/>
                <w:lang w:val="lt-LT"/>
              </w:rPr>
              <w:t>, kad ji atitinka Lietuvos Respublikos turto ir verslo vertinimo pagrindų įstatymo 22 str. nustatyt</w:t>
            </w:r>
            <w:r w:rsidR="00A749C2" w:rsidRPr="008048D3">
              <w:rPr>
                <w:rFonts w:ascii="Verdana" w:hAnsi="Verdana" w:cs="Arial"/>
                <w:sz w:val="16"/>
                <w:szCs w:val="16"/>
                <w:lang w:val="lt-LT"/>
              </w:rPr>
              <w:t>u</w:t>
            </w:r>
            <w:r w:rsidRPr="008048D3">
              <w:rPr>
                <w:rFonts w:ascii="Verdana" w:hAnsi="Verdana" w:cs="Arial"/>
                <w:sz w:val="16"/>
                <w:szCs w:val="16"/>
                <w:lang w:val="lt-LT"/>
              </w:rPr>
              <w:t>s reikalavim</w:t>
            </w:r>
            <w:r w:rsidR="00A749C2" w:rsidRPr="008048D3">
              <w:rPr>
                <w:rFonts w:ascii="Verdana" w:hAnsi="Verdana" w:cs="Arial"/>
                <w:sz w:val="16"/>
                <w:szCs w:val="16"/>
                <w:lang w:val="lt-LT"/>
              </w:rPr>
              <w:t>u</w:t>
            </w:r>
            <w:r w:rsidRPr="008048D3">
              <w:rPr>
                <w:rFonts w:ascii="Verdana" w:hAnsi="Verdana" w:cs="Arial"/>
                <w:sz w:val="16"/>
                <w:szCs w:val="16"/>
                <w:lang w:val="lt-LT"/>
              </w:rPr>
              <w:t xml:space="preserve">s. Atsižvelgiant į tai, Lietuvos banko nurodymas yra tinkamai įvykdytas, kas reiškia, kad nėra ginčo dėl ankščiau išleistų </w:t>
            </w:r>
            <w:r w:rsidR="00202799" w:rsidRPr="008048D3">
              <w:rPr>
                <w:rFonts w:ascii="Verdana" w:hAnsi="Verdana" w:cs="Arial"/>
                <w:sz w:val="16"/>
                <w:szCs w:val="16"/>
                <w:lang w:val="lt-LT"/>
              </w:rPr>
              <w:t>Bendrovės A</w:t>
            </w:r>
            <w:r w:rsidRPr="008048D3">
              <w:rPr>
                <w:rFonts w:ascii="Verdana" w:hAnsi="Verdana" w:cs="Arial"/>
                <w:sz w:val="16"/>
                <w:szCs w:val="16"/>
                <w:lang w:val="lt-LT"/>
              </w:rPr>
              <w:t>kcijų apmokėjimo</w:t>
            </w:r>
            <w:r w:rsidR="00202799" w:rsidRPr="008048D3">
              <w:rPr>
                <w:rFonts w:ascii="Verdana" w:hAnsi="Verdana" w:cs="Arial"/>
                <w:sz w:val="16"/>
                <w:szCs w:val="16"/>
                <w:lang w:val="lt-LT"/>
              </w:rPr>
              <w:t>. Taigi,</w:t>
            </w:r>
            <w:r w:rsidRPr="008048D3">
              <w:rPr>
                <w:rFonts w:ascii="Verdana" w:hAnsi="Verdana" w:cs="Arial"/>
                <w:sz w:val="16"/>
                <w:szCs w:val="16"/>
                <w:lang w:val="lt-LT"/>
              </w:rPr>
              <w:t xml:space="preserve"> jos visos </w:t>
            </w:r>
            <w:r w:rsidR="00202799" w:rsidRPr="008048D3">
              <w:rPr>
                <w:rFonts w:ascii="Verdana" w:hAnsi="Verdana" w:cs="Arial"/>
                <w:sz w:val="16"/>
                <w:szCs w:val="16"/>
                <w:lang w:val="lt-LT"/>
              </w:rPr>
              <w:t xml:space="preserve">yra visiškai </w:t>
            </w:r>
            <w:r w:rsidRPr="008048D3">
              <w:rPr>
                <w:rFonts w:ascii="Verdana" w:hAnsi="Verdana" w:cs="Arial"/>
                <w:sz w:val="16"/>
                <w:szCs w:val="16"/>
                <w:lang w:val="lt-LT"/>
              </w:rPr>
              <w:t>apmokėtos.</w:t>
            </w:r>
          </w:p>
        </w:tc>
      </w:tr>
      <w:tr w:rsidR="008F65F5" w:rsidRPr="008048D3" w14:paraId="43A6A55E" w14:textId="77777777" w:rsidTr="00CA53A5">
        <w:tc>
          <w:tcPr>
            <w:tcW w:w="288" w:type="pct"/>
            <w:tcBorders>
              <w:bottom w:val="single" w:sz="4" w:space="0" w:color="808080"/>
            </w:tcBorders>
          </w:tcPr>
          <w:p w14:paraId="28298F87"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B.11</w:t>
            </w:r>
          </w:p>
        </w:tc>
        <w:tc>
          <w:tcPr>
            <w:tcW w:w="621" w:type="pct"/>
            <w:gridSpan w:val="2"/>
            <w:tcBorders>
              <w:bottom w:val="single" w:sz="4" w:space="0" w:color="808080"/>
            </w:tcBorders>
          </w:tcPr>
          <w:p w14:paraId="5D73EDCE" w14:textId="3C6053A6" w:rsidR="008F65F5" w:rsidRPr="008048D3" w:rsidRDefault="00D67FCB" w:rsidP="008F65F5">
            <w:pPr>
              <w:spacing w:after="40"/>
              <w:rPr>
                <w:rFonts w:ascii="Verdana" w:hAnsi="Verdana" w:cs="Arial"/>
                <w:sz w:val="16"/>
                <w:szCs w:val="16"/>
                <w:lang w:val="lt-LT"/>
              </w:rPr>
            </w:pPr>
            <w:r w:rsidRPr="008048D3">
              <w:rPr>
                <w:rFonts w:ascii="Verdana" w:hAnsi="Verdana" w:cs="Arial"/>
                <w:sz w:val="16"/>
                <w:szCs w:val="16"/>
                <w:lang w:val="lt-LT"/>
              </w:rPr>
              <w:t xml:space="preserve">Apyvartinis kapitalas </w:t>
            </w:r>
          </w:p>
        </w:tc>
        <w:tc>
          <w:tcPr>
            <w:tcW w:w="4090" w:type="pct"/>
            <w:tcBorders>
              <w:bottom w:val="single" w:sz="4" w:space="0" w:color="808080"/>
            </w:tcBorders>
          </w:tcPr>
          <w:p w14:paraId="4376E7C7" w14:textId="6DE6A344" w:rsidR="008F65F5" w:rsidRPr="008048D3" w:rsidRDefault="00D67FCB" w:rsidP="00B27F7B">
            <w:pPr>
              <w:spacing w:after="40"/>
              <w:jc w:val="both"/>
              <w:rPr>
                <w:rFonts w:ascii="Verdana" w:hAnsi="Verdana" w:cs="Arial"/>
                <w:sz w:val="16"/>
                <w:szCs w:val="16"/>
                <w:lang w:val="lt-LT"/>
              </w:rPr>
            </w:pPr>
            <w:r w:rsidRPr="008048D3">
              <w:rPr>
                <w:rFonts w:ascii="Verdana" w:hAnsi="Verdana" w:cs="Arial"/>
                <w:sz w:val="16"/>
                <w:szCs w:val="16"/>
                <w:lang w:val="lt-LT"/>
              </w:rPr>
              <w:t>Emitento nuomone, Grupės apyvartinis kapitalas yra pakankamas įvykdyti esamus reikalavimus (bent kitus 12 mėnesių).</w:t>
            </w:r>
            <w:r w:rsidR="005A7AF3" w:rsidRPr="008048D3">
              <w:rPr>
                <w:rFonts w:ascii="Verdana" w:hAnsi="Verdana" w:cs="Arial"/>
                <w:sz w:val="16"/>
                <w:szCs w:val="16"/>
                <w:lang w:val="lt-LT"/>
              </w:rPr>
              <w:t xml:space="preserve"> Dėl Grupės verslo specifikos, susijusios su žemės ūkiu ir ypač su ekologiniu ūkininkavimu, apyvartinio kapitalo poreikis ūkinėje veikloje pasižymi gana dideliu sezoniškumu metų eigoje. Apyvartinio kapitalo poreikis paprastai yra didžiausias  antrame ir trečiame ketvirčiuose. Grupė naudojasi trumpalaikėmis kredito linijos paskolomis, įskaitant ir apyvartiniam kapitalui finansuoti. Kredito linijos paskolos paprastai reguliariai kiekvienais metais atnaujinamos.</w:t>
            </w:r>
          </w:p>
        </w:tc>
      </w:tr>
      <w:tr w:rsidR="008F65F5" w:rsidRPr="008048D3" w14:paraId="35D5E7CC" w14:textId="77777777" w:rsidTr="00CA53A5">
        <w:tc>
          <w:tcPr>
            <w:tcW w:w="4999" w:type="pct"/>
            <w:gridSpan w:val="4"/>
            <w:tcBorders>
              <w:left w:val="nil"/>
              <w:right w:val="nil"/>
            </w:tcBorders>
          </w:tcPr>
          <w:p w14:paraId="6B22EC73" w14:textId="17D4E7EA" w:rsidR="008F65F5" w:rsidRPr="008048D3" w:rsidRDefault="00D67FCB" w:rsidP="008F65F5">
            <w:pPr>
              <w:spacing w:before="120"/>
              <w:jc w:val="center"/>
              <w:rPr>
                <w:rFonts w:ascii="Verdana" w:hAnsi="Verdana" w:cs="Arial"/>
                <w:b/>
                <w:sz w:val="16"/>
                <w:szCs w:val="16"/>
                <w:lang w:val="lt-LT"/>
              </w:rPr>
            </w:pPr>
            <w:r w:rsidRPr="008048D3">
              <w:rPr>
                <w:rFonts w:ascii="Verdana" w:hAnsi="Verdana" w:cs="Arial"/>
                <w:b/>
                <w:sz w:val="16"/>
                <w:szCs w:val="16"/>
                <w:lang w:val="lt-LT"/>
              </w:rPr>
              <w:t xml:space="preserve">C skirsnis. Vertybiniai popieriai </w:t>
            </w:r>
          </w:p>
        </w:tc>
      </w:tr>
      <w:tr w:rsidR="00D924BF" w:rsidRPr="008048D3" w14:paraId="1B405831" w14:textId="77777777" w:rsidTr="00CA53A5">
        <w:tc>
          <w:tcPr>
            <w:tcW w:w="288" w:type="pct"/>
          </w:tcPr>
          <w:p w14:paraId="6A2A45DD" w14:textId="102C8785" w:rsidR="00D924BF" w:rsidRPr="008048D3" w:rsidRDefault="00D924BF" w:rsidP="00D924BF">
            <w:pPr>
              <w:spacing w:after="40"/>
              <w:ind w:left="-57" w:right="-57"/>
              <w:rPr>
                <w:rFonts w:ascii="Verdana" w:hAnsi="Verdana" w:cs="Arial"/>
                <w:i/>
                <w:sz w:val="16"/>
                <w:szCs w:val="16"/>
                <w:lang w:val="lt-LT"/>
              </w:rPr>
            </w:pPr>
            <w:r w:rsidRPr="008048D3">
              <w:rPr>
                <w:rFonts w:ascii="Verdana" w:hAnsi="Verdana" w:cs="Arial"/>
                <w:i/>
                <w:sz w:val="16"/>
                <w:szCs w:val="16"/>
                <w:lang w:val="lt-LT"/>
              </w:rPr>
              <w:t xml:space="preserve">Punktas </w:t>
            </w:r>
          </w:p>
        </w:tc>
        <w:tc>
          <w:tcPr>
            <w:tcW w:w="621" w:type="pct"/>
            <w:gridSpan w:val="2"/>
          </w:tcPr>
          <w:p w14:paraId="72C7176F" w14:textId="18114A7E" w:rsidR="00D924BF" w:rsidRPr="008048D3" w:rsidRDefault="00D924BF" w:rsidP="00D924BF">
            <w:pPr>
              <w:spacing w:after="40"/>
              <w:ind w:left="-57" w:right="-57"/>
              <w:rPr>
                <w:rFonts w:ascii="Verdana" w:hAnsi="Verdana" w:cs="Arial"/>
                <w:i/>
                <w:sz w:val="16"/>
                <w:szCs w:val="16"/>
                <w:lang w:val="lt-LT"/>
              </w:rPr>
            </w:pPr>
            <w:r w:rsidRPr="008048D3">
              <w:rPr>
                <w:rFonts w:ascii="Verdana" w:hAnsi="Verdana" w:cs="Arial"/>
                <w:i/>
                <w:sz w:val="16"/>
                <w:szCs w:val="16"/>
                <w:lang w:val="lt-LT"/>
              </w:rPr>
              <w:t xml:space="preserve">Pavadinimas </w:t>
            </w:r>
          </w:p>
        </w:tc>
        <w:tc>
          <w:tcPr>
            <w:tcW w:w="4090" w:type="pct"/>
          </w:tcPr>
          <w:p w14:paraId="5ADAE998" w14:textId="05D9D8CE" w:rsidR="00D924BF" w:rsidRPr="008048D3" w:rsidRDefault="00D924BF" w:rsidP="00D924BF">
            <w:pPr>
              <w:spacing w:after="40"/>
              <w:rPr>
                <w:rFonts w:ascii="Verdana" w:hAnsi="Verdana" w:cs="Arial"/>
                <w:i/>
                <w:sz w:val="16"/>
                <w:szCs w:val="16"/>
                <w:lang w:val="lt-LT"/>
              </w:rPr>
            </w:pPr>
            <w:r w:rsidRPr="008048D3">
              <w:rPr>
                <w:rFonts w:ascii="Verdana" w:hAnsi="Verdana" w:cs="Arial"/>
                <w:i/>
                <w:sz w:val="16"/>
                <w:szCs w:val="16"/>
                <w:lang w:val="lt-LT"/>
              </w:rPr>
              <w:t xml:space="preserve">Informacijos atskleidimas </w:t>
            </w:r>
          </w:p>
        </w:tc>
      </w:tr>
      <w:tr w:rsidR="008F65F5" w:rsidRPr="00CD3453" w14:paraId="31692164" w14:textId="77777777" w:rsidTr="00CA53A5">
        <w:tc>
          <w:tcPr>
            <w:tcW w:w="288" w:type="pct"/>
          </w:tcPr>
          <w:p w14:paraId="0E841FD4"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C.1</w:t>
            </w:r>
          </w:p>
        </w:tc>
        <w:tc>
          <w:tcPr>
            <w:tcW w:w="621" w:type="pct"/>
            <w:gridSpan w:val="2"/>
          </w:tcPr>
          <w:p w14:paraId="04B29A23" w14:textId="77777777" w:rsidR="00D67FCB" w:rsidRPr="008048D3" w:rsidRDefault="00D67FCB" w:rsidP="008F65F5">
            <w:pPr>
              <w:spacing w:after="40"/>
              <w:rPr>
                <w:rFonts w:ascii="Verdana" w:hAnsi="Verdana" w:cs="Arial"/>
                <w:sz w:val="16"/>
                <w:szCs w:val="16"/>
                <w:lang w:val="lt-LT"/>
              </w:rPr>
            </w:pPr>
            <w:r w:rsidRPr="008048D3">
              <w:rPr>
                <w:rFonts w:ascii="Verdana" w:hAnsi="Verdana" w:cs="Arial"/>
                <w:sz w:val="16"/>
                <w:szCs w:val="16"/>
                <w:lang w:val="lt-LT"/>
              </w:rPr>
              <w:t xml:space="preserve">Vertybinių popierių tipas, klasė ir identifikavimo numeris </w:t>
            </w:r>
          </w:p>
          <w:p w14:paraId="7DC5BB30" w14:textId="52CFD282" w:rsidR="008F65F5" w:rsidRPr="008048D3" w:rsidRDefault="008F65F5" w:rsidP="008F65F5">
            <w:pPr>
              <w:spacing w:after="40"/>
              <w:rPr>
                <w:rFonts w:ascii="Verdana" w:hAnsi="Verdana" w:cs="Arial"/>
                <w:sz w:val="16"/>
                <w:szCs w:val="16"/>
                <w:lang w:val="lt-LT"/>
              </w:rPr>
            </w:pPr>
          </w:p>
        </w:tc>
        <w:tc>
          <w:tcPr>
            <w:tcW w:w="4090" w:type="pct"/>
          </w:tcPr>
          <w:p w14:paraId="1E303623" w14:textId="455627E6" w:rsidR="00D67FCB" w:rsidRPr="008048D3" w:rsidRDefault="00D67FCB" w:rsidP="00D67FCB">
            <w:pPr>
              <w:jc w:val="both"/>
              <w:rPr>
                <w:rFonts w:ascii="Verdana" w:hAnsi="Verdana" w:cs="Arial"/>
                <w:sz w:val="16"/>
                <w:szCs w:val="16"/>
                <w:lang w:val="lt-LT"/>
              </w:rPr>
            </w:pPr>
            <w:r w:rsidRPr="008048D3">
              <w:rPr>
                <w:rFonts w:ascii="Verdana" w:hAnsi="Verdana" w:cs="Arial"/>
                <w:sz w:val="16"/>
                <w:szCs w:val="16"/>
                <w:lang w:val="lt-LT"/>
              </w:rPr>
              <w:t xml:space="preserve">Visos Akcijos </w:t>
            </w:r>
            <w:r w:rsidR="00D836E1" w:rsidRPr="008048D3">
              <w:rPr>
                <w:rFonts w:ascii="Verdana" w:hAnsi="Verdana" w:cs="Arial"/>
                <w:sz w:val="16"/>
                <w:szCs w:val="16"/>
                <w:lang w:val="lt-LT"/>
              </w:rPr>
              <w:t xml:space="preserve">yra </w:t>
            </w:r>
            <w:r w:rsidRPr="008048D3">
              <w:rPr>
                <w:rFonts w:ascii="Verdana" w:hAnsi="Verdana" w:cs="Arial"/>
                <w:sz w:val="16"/>
                <w:szCs w:val="16"/>
                <w:lang w:val="lt-LT"/>
              </w:rPr>
              <w:t>(</w:t>
            </w:r>
            <w:r w:rsidR="00D836E1" w:rsidRPr="008048D3">
              <w:rPr>
                <w:rFonts w:ascii="Verdana" w:hAnsi="Verdana" w:cs="Arial"/>
                <w:sz w:val="16"/>
                <w:szCs w:val="16"/>
                <w:lang w:val="lt-LT"/>
              </w:rPr>
              <w:t xml:space="preserve">o </w:t>
            </w:r>
            <w:r w:rsidRPr="008048D3">
              <w:rPr>
                <w:rFonts w:ascii="Verdana" w:hAnsi="Verdana" w:cs="Arial"/>
                <w:sz w:val="16"/>
                <w:szCs w:val="16"/>
                <w:lang w:val="lt-LT"/>
              </w:rPr>
              <w:t>Nauj</w:t>
            </w:r>
            <w:r w:rsidR="00D836E1" w:rsidRPr="008048D3">
              <w:rPr>
                <w:rFonts w:ascii="Verdana" w:hAnsi="Verdana" w:cs="Arial"/>
                <w:sz w:val="16"/>
                <w:szCs w:val="16"/>
                <w:lang w:val="lt-LT"/>
              </w:rPr>
              <w:t>o</w:t>
            </w:r>
            <w:r w:rsidRPr="008048D3">
              <w:rPr>
                <w:rFonts w:ascii="Verdana" w:hAnsi="Verdana" w:cs="Arial"/>
                <w:sz w:val="16"/>
                <w:szCs w:val="16"/>
                <w:lang w:val="lt-LT"/>
              </w:rPr>
              <w:t>s akcij</w:t>
            </w:r>
            <w:r w:rsidR="00D836E1" w:rsidRPr="008048D3">
              <w:rPr>
                <w:rFonts w:ascii="Verdana" w:hAnsi="Verdana" w:cs="Arial"/>
                <w:sz w:val="16"/>
                <w:szCs w:val="16"/>
                <w:lang w:val="lt-LT"/>
              </w:rPr>
              <w:t>o</w:t>
            </w:r>
            <w:r w:rsidRPr="008048D3">
              <w:rPr>
                <w:rFonts w:ascii="Verdana" w:hAnsi="Verdana" w:cs="Arial"/>
                <w:sz w:val="16"/>
                <w:szCs w:val="16"/>
                <w:lang w:val="lt-LT"/>
              </w:rPr>
              <w:t>s</w:t>
            </w:r>
            <w:r w:rsidR="00D836E1" w:rsidRPr="008048D3">
              <w:rPr>
                <w:rFonts w:ascii="Verdana" w:hAnsi="Verdana" w:cs="Arial"/>
                <w:sz w:val="16"/>
                <w:szCs w:val="16"/>
                <w:lang w:val="lt-LT"/>
              </w:rPr>
              <w:t xml:space="preserve"> bus</w:t>
            </w:r>
            <w:r w:rsidRPr="008048D3">
              <w:rPr>
                <w:rFonts w:ascii="Verdana" w:hAnsi="Verdana" w:cs="Arial"/>
                <w:sz w:val="16"/>
                <w:szCs w:val="16"/>
                <w:lang w:val="lt-LT"/>
              </w:rPr>
              <w:t xml:space="preserve">) paprastosios vardinės akcijos, kurių kiekvienos nominalinė vertė yra 0,29 EUR ir kurios yra įregistruotos </w:t>
            </w:r>
            <w:proofErr w:type="spellStart"/>
            <w:r w:rsidRPr="008048D3">
              <w:rPr>
                <w:rFonts w:ascii="Verdana" w:hAnsi="Verdana" w:cs="Arial"/>
                <w:sz w:val="16"/>
                <w:szCs w:val="16"/>
                <w:lang w:val="lt-LT"/>
              </w:rPr>
              <w:t>Nasdaq</w:t>
            </w:r>
            <w:proofErr w:type="spellEnd"/>
            <w:r w:rsidRPr="008048D3">
              <w:rPr>
                <w:rFonts w:ascii="Verdana" w:hAnsi="Verdana" w:cs="Arial"/>
                <w:sz w:val="16"/>
                <w:szCs w:val="16"/>
                <w:lang w:val="lt-LT"/>
              </w:rPr>
              <w:t xml:space="preserve"> </w:t>
            </w:r>
            <w:r w:rsidR="00095E98" w:rsidRPr="008048D3">
              <w:rPr>
                <w:rFonts w:ascii="Verdana" w:hAnsi="Verdana" w:cs="Arial"/>
                <w:sz w:val="16"/>
                <w:szCs w:val="16"/>
                <w:lang w:val="lt-LT"/>
              </w:rPr>
              <w:t>CSD</w:t>
            </w:r>
            <w:r w:rsidR="0055225F" w:rsidRPr="008048D3">
              <w:rPr>
                <w:rFonts w:ascii="Verdana" w:hAnsi="Verdana" w:cs="Arial"/>
                <w:sz w:val="16"/>
                <w:szCs w:val="16"/>
                <w:lang w:val="lt-LT"/>
              </w:rPr>
              <w:t xml:space="preserve"> (toliau – </w:t>
            </w:r>
            <w:proofErr w:type="spellStart"/>
            <w:r w:rsidR="0055225F" w:rsidRPr="008048D3">
              <w:rPr>
                <w:rFonts w:ascii="Verdana" w:hAnsi="Verdana" w:cs="Arial"/>
                <w:b/>
                <w:sz w:val="16"/>
                <w:szCs w:val="16"/>
                <w:lang w:val="lt-LT"/>
              </w:rPr>
              <w:t>Nasdaq</w:t>
            </w:r>
            <w:proofErr w:type="spellEnd"/>
            <w:r w:rsidR="0055225F" w:rsidRPr="008048D3">
              <w:rPr>
                <w:rFonts w:ascii="Verdana" w:hAnsi="Verdana" w:cs="Arial"/>
                <w:b/>
                <w:sz w:val="16"/>
                <w:szCs w:val="16"/>
                <w:lang w:val="lt-LT"/>
              </w:rPr>
              <w:t xml:space="preserve"> CSD</w:t>
            </w:r>
            <w:r w:rsidR="0055225F" w:rsidRPr="008048D3">
              <w:rPr>
                <w:rFonts w:ascii="Verdana" w:hAnsi="Verdana" w:cs="Arial"/>
                <w:sz w:val="16"/>
                <w:szCs w:val="16"/>
                <w:lang w:val="lt-LT"/>
              </w:rPr>
              <w:t>)</w:t>
            </w:r>
            <w:r w:rsidRPr="008048D3">
              <w:rPr>
                <w:rFonts w:ascii="Verdana" w:hAnsi="Verdana" w:cs="Arial"/>
                <w:sz w:val="16"/>
                <w:szCs w:val="16"/>
                <w:lang w:val="lt-LT"/>
              </w:rPr>
              <w:t xml:space="preserve">, ISIN kodas LT0000127466, taip pat </w:t>
            </w:r>
            <w:proofErr w:type="spellStart"/>
            <w:r w:rsidRPr="008048D3">
              <w:rPr>
                <w:rFonts w:ascii="Verdana" w:hAnsi="Verdana" w:cs="Arial"/>
                <w:sz w:val="16"/>
                <w:szCs w:val="16"/>
                <w:lang w:val="lt-LT"/>
              </w:rPr>
              <w:t>Nasdaq</w:t>
            </w:r>
            <w:proofErr w:type="spellEnd"/>
            <w:r w:rsidRPr="008048D3">
              <w:rPr>
                <w:rFonts w:ascii="Verdana" w:hAnsi="Verdana" w:cs="Arial"/>
                <w:sz w:val="16"/>
                <w:szCs w:val="16"/>
                <w:lang w:val="lt-LT"/>
              </w:rPr>
              <w:t xml:space="preserve"> </w:t>
            </w:r>
            <w:r w:rsidR="00095E98" w:rsidRPr="008048D3">
              <w:rPr>
                <w:rFonts w:ascii="Verdana" w:hAnsi="Verdana" w:cs="Arial"/>
                <w:sz w:val="16"/>
                <w:szCs w:val="16"/>
                <w:lang w:val="lt-LT"/>
              </w:rPr>
              <w:t xml:space="preserve">CSD </w:t>
            </w:r>
            <w:r w:rsidRPr="008048D3">
              <w:rPr>
                <w:rFonts w:ascii="Verdana" w:hAnsi="Verdana" w:cs="Arial"/>
                <w:sz w:val="16"/>
                <w:szCs w:val="16"/>
                <w:lang w:val="lt-LT"/>
              </w:rPr>
              <w:t xml:space="preserve">esančioje Lenkijos atsiskaitymų įstaigos </w:t>
            </w:r>
            <w:r w:rsidR="00095E98" w:rsidRPr="008048D3">
              <w:rPr>
                <w:rFonts w:ascii="Verdana" w:hAnsi="Verdana" w:cs="Arial"/>
                <w:sz w:val="16"/>
                <w:szCs w:val="16"/>
                <w:lang w:val="lt-LT"/>
              </w:rPr>
              <w:t>(</w:t>
            </w:r>
            <w:r w:rsidR="008D7F64" w:rsidRPr="008048D3">
              <w:rPr>
                <w:rFonts w:ascii="Verdana" w:hAnsi="Verdana" w:cs="Arial"/>
                <w:sz w:val="16"/>
                <w:szCs w:val="16"/>
                <w:lang w:val="lt-LT"/>
              </w:rPr>
              <w:t xml:space="preserve">Lenkijos centrinio </w:t>
            </w:r>
            <w:r w:rsidRPr="008048D3">
              <w:rPr>
                <w:rFonts w:ascii="Verdana" w:hAnsi="Verdana" w:cs="Arial"/>
                <w:sz w:val="16"/>
                <w:szCs w:val="16"/>
                <w:lang w:val="lt-LT"/>
              </w:rPr>
              <w:t>vertybinių popierių depozitoriumo</w:t>
            </w:r>
            <w:r w:rsidR="00095E98" w:rsidRPr="008048D3">
              <w:rPr>
                <w:rFonts w:ascii="Verdana" w:hAnsi="Verdana" w:cs="Arial"/>
                <w:sz w:val="16"/>
                <w:szCs w:val="16"/>
                <w:lang w:val="lt-LT"/>
              </w:rPr>
              <w:t>)</w:t>
            </w:r>
            <w:r w:rsidRPr="008048D3">
              <w:rPr>
                <w:rFonts w:ascii="Verdana" w:hAnsi="Verdana" w:cs="Arial"/>
                <w:sz w:val="16"/>
                <w:szCs w:val="16"/>
                <w:lang w:val="lt-LT"/>
              </w:rPr>
              <w:t xml:space="preserve"> </w:t>
            </w:r>
            <w:r w:rsidR="0055225F" w:rsidRPr="008048D3">
              <w:rPr>
                <w:rFonts w:ascii="Verdana" w:hAnsi="Verdana" w:cs="Arial"/>
                <w:sz w:val="16"/>
                <w:szCs w:val="16"/>
                <w:lang w:val="lt-LT"/>
              </w:rPr>
              <w:t xml:space="preserve">(toliau – </w:t>
            </w:r>
            <w:r w:rsidR="0055225F" w:rsidRPr="008048D3">
              <w:rPr>
                <w:rFonts w:ascii="Verdana" w:hAnsi="Verdana" w:cs="Arial"/>
                <w:b/>
                <w:sz w:val="16"/>
                <w:szCs w:val="16"/>
                <w:lang w:val="lt-LT"/>
              </w:rPr>
              <w:t>CSDP</w:t>
            </w:r>
            <w:r w:rsidR="0055225F" w:rsidRPr="008048D3">
              <w:rPr>
                <w:rFonts w:ascii="Verdana" w:hAnsi="Verdana" w:cs="Arial"/>
                <w:sz w:val="16"/>
                <w:szCs w:val="16"/>
                <w:lang w:val="lt-LT"/>
              </w:rPr>
              <w:t xml:space="preserve">) </w:t>
            </w:r>
            <w:r w:rsidRPr="008048D3">
              <w:rPr>
                <w:rFonts w:ascii="Verdana" w:hAnsi="Verdana" w:cs="Arial"/>
                <w:sz w:val="16"/>
                <w:szCs w:val="16"/>
                <w:lang w:val="lt-LT"/>
              </w:rPr>
              <w:t>užsienio sąskaitoje.</w:t>
            </w:r>
          </w:p>
          <w:p w14:paraId="4FE3CFC1" w14:textId="77777777" w:rsidR="005A7B58" w:rsidRPr="008048D3" w:rsidRDefault="005A7B58" w:rsidP="005A7B58">
            <w:pPr>
              <w:jc w:val="both"/>
              <w:rPr>
                <w:rFonts w:ascii="Verdana" w:hAnsi="Verdana" w:cs="Arial"/>
                <w:sz w:val="16"/>
                <w:szCs w:val="16"/>
                <w:lang w:val="lt-LT"/>
              </w:rPr>
            </w:pPr>
          </w:p>
          <w:p w14:paraId="0A15BFA7" w14:textId="55BAFAAC" w:rsidR="005A29D6" w:rsidRPr="008048D3" w:rsidRDefault="008D7F64" w:rsidP="005A29D6">
            <w:pPr>
              <w:jc w:val="both"/>
              <w:rPr>
                <w:rFonts w:ascii="Verdana" w:hAnsi="Verdana" w:cs="Arial"/>
                <w:sz w:val="16"/>
                <w:szCs w:val="16"/>
                <w:lang w:val="lt-LT"/>
              </w:rPr>
            </w:pPr>
            <w:r w:rsidRPr="008048D3">
              <w:rPr>
                <w:rFonts w:ascii="Verdana" w:hAnsi="Verdana" w:cs="Arial"/>
                <w:sz w:val="16"/>
                <w:szCs w:val="16"/>
                <w:lang w:val="lt-LT"/>
              </w:rPr>
              <w:t xml:space="preserve">Išleidus </w:t>
            </w:r>
            <w:r w:rsidR="00485800" w:rsidRPr="008048D3">
              <w:rPr>
                <w:rFonts w:ascii="Verdana" w:hAnsi="Verdana" w:cs="Arial"/>
                <w:sz w:val="16"/>
                <w:szCs w:val="16"/>
                <w:lang w:val="lt-LT"/>
              </w:rPr>
              <w:t xml:space="preserve">ir įregistravus </w:t>
            </w:r>
            <w:r w:rsidRPr="008048D3">
              <w:rPr>
                <w:rFonts w:ascii="Verdana" w:hAnsi="Verdana" w:cs="Arial"/>
                <w:sz w:val="16"/>
                <w:szCs w:val="16"/>
                <w:lang w:val="lt-LT"/>
              </w:rPr>
              <w:t>Naujas akcijas ir jas sujungus su ankstesne emisija, Naujų akcijų ISIN kodas bus tas pats kaip jau išleistų Akcijų kodas</w:t>
            </w:r>
            <w:r w:rsidR="005A29D6" w:rsidRPr="008048D3">
              <w:rPr>
                <w:rFonts w:ascii="Verdana" w:hAnsi="Verdana" w:cs="Arial"/>
                <w:sz w:val="16"/>
                <w:szCs w:val="16"/>
                <w:lang w:val="lt-LT"/>
              </w:rPr>
              <w:t>.</w:t>
            </w:r>
          </w:p>
          <w:p w14:paraId="083B0F95" w14:textId="77777777" w:rsidR="005A7B58" w:rsidRPr="008048D3" w:rsidRDefault="005A7B58" w:rsidP="005A7B58">
            <w:pPr>
              <w:jc w:val="both"/>
              <w:rPr>
                <w:rFonts w:ascii="Verdana" w:hAnsi="Verdana" w:cs="Arial"/>
                <w:sz w:val="16"/>
                <w:szCs w:val="16"/>
                <w:lang w:val="lt-LT"/>
              </w:rPr>
            </w:pPr>
          </w:p>
          <w:p w14:paraId="25AB22F7" w14:textId="36D3A4CE" w:rsidR="008F65F5" w:rsidRPr="008048D3" w:rsidRDefault="008D7F64" w:rsidP="005A7B58">
            <w:pPr>
              <w:jc w:val="both"/>
              <w:rPr>
                <w:rFonts w:ascii="Verdana" w:hAnsi="Verdana" w:cs="Arial"/>
                <w:sz w:val="16"/>
                <w:szCs w:val="16"/>
                <w:lang w:val="lt-LT"/>
              </w:rPr>
            </w:pPr>
            <w:r w:rsidRPr="008048D3">
              <w:rPr>
                <w:rFonts w:ascii="Verdana" w:hAnsi="Verdana" w:cs="Arial"/>
                <w:sz w:val="16"/>
                <w:szCs w:val="16"/>
                <w:lang w:val="lt-LT"/>
              </w:rPr>
              <w:t xml:space="preserve">Visos Akcijos, įskaitant Naujas akcijas, yra </w:t>
            </w:r>
            <w:proofErr w:type="spellStart"/>
            <w:r w:rsidRPr="008048D3">
              <w:rPr>
                <w:rFonts w:ascii="Verdana" w:hAnsi="Verdana" w:cs="Arial"/>
                <w:i/>
                <w:sz w:val="16"/>
                <w:szCs w:val="16"/>
                <w:lang w:val="lt-LT"/>
              </w:rPr>
              <w:t>pari</w:t>
            </w:r>
            <w:proofErr w:type="spellEnd"/>
            <w:r w:rsidRPr="008048D3">
              <w:rPr>
                <w:rFonts w:ascii="Verdana" w:hAnsi="Verdana" w:cs="Arial"/>
                <w:i/>
                <w:sz w:val="16"/>
                <w:szCs w:val="16"/>
                <w:lang w:val="lt-LT"/>
              </w:rPr>
              <w:t xml:space="preserve"> </w:t>
            </w:r>
            <w:proofErr w:type="spellStart"/>
            <w:r w:rsidRPr="008048D3">
              <w:rPr>
                <w:rFonts w:ascii="Verdana" w:hAnsi="Verdana" w:cs="Arial"/>
                <w:i/>
                <w:sz w:val="16"/>
                <w:szCs w:val="16"/>
                <w:lang w:val="lt-LT"/>
              </w:rPr>
              <w:t>passu</w:t>
            </w:r>
            <w:proofErr w:type="spellEnd"/>
            <w:r w:rsidRPr="008048D3">
              <w:rPr>
                <w:rFonts w:ascii="Verdana" w:hAnsi="Verdana" w:cs="Arial"/>
                <w:sz w:val="16"/>
                <w:szCs w:val="16"/>
                <w:lang w:val="lt-LT"/>
              </w:rPr>
              <w:t xml:space="preserve"> (suteikia vienodas teises, be jokių privilegijų), kalbant apie turtines ir neturtines teises, kurias jos suteikia akcininkams</w:t>
            </w:r>
            <w:r w:rsidR="005A7B58" w:rsidRPr="008048D3">
              <w:rPr>
                <w:rFonts w:ascii="Verdana" w:hAnsi="Verdana" w:cs="Arial"/>
                <w:sz w:val="16"/>
                <w:szCs w:val="16"/>
                <w:lang w:val="lt-LT"/>
              </w:rPr>
              <w:t>.</w:t>
            </w:r>
          </w:p>
        </w:tc>
      </w:tr>
      <w:tr w:rsidR="008F65F5" w:rsidRPr="008048D3" w14:paraId="0DDD65AC" w14:textId="77777777" w:rsidTr="00CA53A5">
        <w:tc>
          <w:tcPr>
            <w:tcW w:w="288" w:type="pct"/>
          </w:tcPr>
          <w:p w14:paraId="2932D3FE"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C.2</w:t>
            </w:r>
          </w:p>
        </w:tc>
        <w:tc>
          <w:tcPr>
            <w:tcW w:w="621" w:type="pct"/>
            <w:gridSpan w:val="2"/>
          </w:tcPr>
          <w:p w14:paraId="1DFB88DF" w14:textId="7F6E8472" w:rsidR="008F65F5" w:rsidRPr="008048D3" w:rsidRDefault="00D67FCB" w:rsidP="008F65F5">
            <w:pPr>
              <w:spacing w:after="40"/>
              <w:rPr>
                <w:rFonts w:ascii="Verdana" w:hAnsi="Verdana" w:cs="Arial"/>
                <w:sz w:val="16"/>
                <w:szCs w:val="16"/>
                <w:lang w:val="lt-LT"/>
              </w:rPr>
            </w:pPr>
            <w:r w:rsidRPr="008048D3">
              <w:rPr>
                <w:rFonts w:ascii="Verdana" w:hAnsi="Verdana" w:cs="Arial"/>
                <w:sz w:val="16"/>
                <w:szCs w:val="16"/>
                <w:lang w:val="lt-LT"/>
              </w:rPr>
              <w:t xml:space="preserve">Emisijos valiuta </w:t>
            </w:r>
          </w:p>
        </w:tc>
        <w:tc>
          <w:tcPr>
            <w:tcW w:w="4090" w:type="pct"/>
          </w:tcPr>
          <w:p w14:paraId="55BEA56F" w14:textId="1A627F57" w:rsidR="008F65F5" w:rsidRPr="008048D3" w:rsidRDefault="002A4A6C" w:rsidP="00F54B82">
            <w:pPr>
              <w:rPr>
                <w:rFonts w:ascii="Verdana" w:hAnsi="Verdana" w:cs="Arial"/>
                <w:sz w:val="16"/>
                <w:szCs w:val="16"/>
                <w:lang w:val="lt-LT"/>
              </w:rPr>
            </w:pPr>
            <w:r w:rsidRPr="008048D3">
              <w:rPr>
                <w:rFonts w:ascii="Verdana" w:hAnsi="Verdana"/>
                <w:sz w:val="16"/>
                <w:szCs w:val="16"/>
                <w:lang w:val="lt-LT"/>
              </w:rPr>
              <w:t xml:space="preserve">EUR </w:t>
            </w:r>
            <w:r w:rsidR="00F54B82" w:rsidRPr="008048D3">
              <w:rPr>
                <w:rFonts w:ascii="Verdana" w:hAnsi="Verdana"/>
                <w:sz w:val="16"/>
                <w:szCs w:val="16"/>
                <w:lang w:val="lt-LT"/>
              </w:rPr>
              <w:t>(</w:t>
            </w:r>
            <w:r w:rsidR="00730007" w:rsidRPr="008048D3">
              <w:rPr>
                <w:rFonts w:ascii="Verdana" w:hAnsi="Verdana"/>
                <w:sz w:val="16"/>
                <w:szCs w:val="16"/>
                <w:lang w:val="lt-LT"/>
              </w:rPr>
              <w:t>e</w:t>
            </w:r>
            <w:r w:rsidRPr="008048D3">
              <w:rPr>
                <w:rFonts w:ascii="Verdana" w:hAnsi="Verdana"/>
                <w:sz w:val="16"/>
                <w:szCs w:val="16"/>
                <w:lang w:val="lt-LT"/>
              </w:rPr>
              <w:t>ur</w:t>
            </w:r>
            <w:r w:rsidR="005F69F4" w:rsidRPr="008048D3">
              <w:rPr>
                <w:rFonts w:ascii="Verdana" w:hAnsi="Verdana"/>
                <w:sz w:val="16"/>
                <w:szCs w:val="16"/>
                <w:lang w:val="lt-LT"/>
              </w:rPr>
              <w:t>as</w:t>
            </w:r>
            <w:r w:rsidR="00F54B82" w:rsidRPr="008048D3">
              <w:rPr>
                <w:rFonts w:ascii="Verdana" w:hAnsi="Verdana"/>
                <w:sz w:val="16"/>
                <w:szCs w:val="16"/>
                <w:lang w:val="lt-LT"/>
              </w:rPr>
              <w:t xml:space="preserve">) </w:t>
            </w:r>
          </w:p>
        </w:tc>
      </w:tr>
      <w:tr w:rsidR="008F65F5" w:rsidRPr="00CD3453" w14:paraId="1C723E8E" w14:textId="77777777" w:rsidTr="00CA53A5">
        <w:tc>
          <w:tcPr>
            <w:tcW w:w="288" w:type="pct"/>
          </w:tcPr>
          <w:p w14:paraId="019242DE"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lastRenderedPageBreak/>
              <w:t>C.3</w:t>
            </w:r>
          </w:p>
        </w:tc>
        <w:tc>
          <w:tcPr>
            <w:tcW w:w="621" w:type="pct"/>
            <w:gridSpan w:val="2"/>
          </w:tcPr>
          <w:p w14:paraId="631BE7C8" w14:textId="4D814ABF" w:rsidR="008F65F5" w:rsidRPr="008048D3" w:rsidRDefault="00D67FCB" w:rsidP="008F65F5">
            <w:pPr>
              <w:spacing w:after="40"/>
              <w:rPr>
                <w:rFonts w:ascii="Verdana" w:hAnsi="Verdana" w:cs="Arial"/>
                <w:sz w:val="16"/>
                <w:szCs w:val="16"/>
                <w:lang w:val="lt-LT"/>
              </w:rPr>
            </w:pPr>
            <w:r w:rsidRPr="008048D3">
              <w:rPr>
                <w:rFonts w:ascii="Verdana" w:hAnsi="Verdana" w:cs="Arial"/>
                <w:sz w:val="16"/>
                <w:szCs w:val="16"/>
                <w:lang w:val="lt-LT"/>
              </w:rPr>
              <w:t xml:space="preserve">Išleistų ir visiškai apmokėtų, taip pat išleistų, bet nevisiškai apmokėtų akcijų skaičius. Akcijos nominali vertė </w:t>
            </w:r>
          </w:p>
        </w:tc>
        <w:tc>
          <w:tcPr>
            <w:tcW w:w="4090" w:type="pct"/>
          </w:tcPr>
          <w:p w14:paraId="6A835168" w14:textId="1597EE15" w:rsidR="005F69F4" w:rsidRPr="008048D3" w:rsidRDefault="005F69F4" w:rsidP="005F69F4">
            <w:pPr>
              <w:jc w:val="both"/>
              <w:rPr>
                <w:rFonts w:ascii="Verdana" w:hAnsi="Verdana" w:cs="Arial"/>
                <w:sz w:val="16"/>
                <w:szCs w:val="16"/>
                <w:lang w:val="lt-LT"/>
              </w:rPr>
            </w:pPr>
            <w:r w:rsidRPr="008048D3">
              <w:rPr>
                <w:rFonts w:ascii="Verdana" w:hAnsi="Verdana" w:cs="Arial"/>
                <w:sz w:val="16"/>
                <w:szCs w:val="16"/>
                <w:lang w:val="lt-LT"/>
              </w:rPr>
              <w:t xml:space="preserve">Šio Prospekto sudarymo dieną Bendrovės įstatinis kapitalas yra </w:t>
            </w:r>
            <w:r w:rsidRPr="008048D3">
              <w:rPr>
                <w:rFonts w:ascii="Verdana" w:hAnsi="Verdana"/>
                <w:sz w:val="16"/>
                <w:szCs w:val="16"/>
                <w:lang w:val="lt-LT"/>
              </w:rPr>
              <w:t>54 350 713,08 EUR</w:t>
            </w:r>
            <w:r w:rsidRPr="008048D3">
              <w:rPr>
                <w:rFonts w:ascii="Verdana" w:hAnsi="Verdana" w:cs="Arial"/>
                <w:sz w:val="16"/>
                <w:szCs w:val="16"/>
                <w:lang w:val="lt-LT"/>
              </w:rPr>
              <w:t xml:space="preserve">, jis padalintas į </w:t>
            </w:r>
            <w:r w:rsidRPr="008048D3">
              <w:rPr>
                <w:rFonts w:ascii="Verdana" w:hAnsi="Verdana"/>
                <w:sz w:val="16"/>
                <w:szCs w:val="16"/>
                <w:lang w:val="lt-LT"/>
              </w:rPr>
              <w:t xml:space="preserve">187 416 252 </w:t>
            </w:r>
            <w:r w:rsidRPr="008048D3">
              <w:rPr>
                <w:rFonts w:ascii="Verdana" w:hAnsi="Verdana" w:cs="Arial"/>
                <w:sz w:val="16"/>
                <w:szCs w:val="16"/>
                <w:lang w:val="lt-LT"/>
              </w:rPr>
              <w:t>vardines Akcijas, kurių kiekvienos nominalinė vertė yra 0,29 EUR.</w:t>
            </w:r>
          </w:p>
          <w:p w14:paraId="4AD6E742" w14:textId="77777777" w:rsidR="005F69F4" w:rsidRPr="008048D3" w:rsidRDefault="005F69F4" w:rsidP="005F69F4">
            <w:pPr>
              <w:jc w:val="both"/>
              <w:rPr>
                <w:rFonts w:ascii="Verdana" w:hAnsi="Verdana" w:cs="Arial"/>
                <w:sz w:val="16"/>
                <w:szCs w:val="16"/>
                <w:lang w:val="lt-LT"/>
              </w:rPr>
            </w:pPr>
          </w:p>
          <w:p w14:paraId="4097D925" w14:textId="7B984A03" w:rsidR="008F65F5" w:rsidRPr="008048D3" w:rsidRDefault="005F69F4" w:rsidP="005A7B58">
            <w:pPr>
              <w:jc w:val="both"/>
              <w:rPr>
                <w:rFonts w:ascii="Verdana" w:hAnsi="Verdana" w:cs="Arial"/>
                <w:sz w:val="16"/>
                <w:szCs w:val="16"/>
                <w:lang w:val="lt-LT"/>
              </w:rPr>
            </w:pPr>
            <w:r w:rsidRPr="008048D3">
              <w:rPr>
                <w:rFonts w:ascii="Verdana" w:hAnsi="Verdana" w:cs="Arial"/>
                <w:sz w:val="16"/>
                <w:szCs w:val="16"/>
                <w:lang w:val="lt-LT"/>
              </w:rPr>
              <w:t>Šio Prospekto sudarymo dieną visos išleistos ir esamos Akcijos yra visiškai apmokėtos.</w:t>
            </w:r>
          </w:p>
        </w:tc>
      </w:tr>
      <w:tr w:rsidR="008F65F5" w:rsidRPr="008048D3" w14:paraId="75D8CF95" w14:textId="77777777" w:rsidTr="00CA53A5">
        <w:tc>
          <w:tcPr>
            <w:tcW w:w="288" w:type="pct"/>
          </w:tcPr>
          <w:p w14:paraId="65D68674"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C.4</w:t>
            </w:r>
          </w:p>
        </w:tc>
        <w:tc>
          <w:tcPr>
            <w:tcW w:w="621" w:type="pct"/>
            <w:gridSpan w:val="2"/>
          </w:tcPr>
          <w:p w14:paraId="71F10B2C" w14:textId="12D9E03E" w:rsidR="008F65F5" w:rsidRPr="008048D3" w:rsidRDefault="00F6068D" w:rsidP="008F65F5">
            <w:pPr>
              <w:spacing w:after="40"/>
              <w:rPr>
                <w:rFonts w:ascii="Verdana" w:hAnsi="Verdana" w:cs="Arial"/>
                <w:sz w:val="16"/>
                <w:szCs w:val="16"/>
                <w:lang w:val="lt-LT"/>
              </w:rPr>
            </w:pPr>
            <w:r w:rsidRPr="008048D3">
              <w:rPr>
                <w:rFonts w:ascii="Verdana" w:hAnsi="Verdana" w:cs="Arial"/>
                <w:sz w:val="16"/>
                <w:szCs w:val="16"/>
                <w:lang w:val="lt-LT"/>
              </w:rPr>
              <w:t xml:space="preserve">Vertybinių popierių suteikiamos teisės </w:t>
            </w:r>
          </w:p>
        </w:tc>
        <w:tc>
          <w:tcPr>
            <w:tcW w:w="4090" w:type="pct"/>
          </w:tcPr>
          <w:p w14:paraId="7720FAAC" w14:textId="7255E725" w:rsidR="00F6068D" w:rsidRPr="008048D3" w:rsidRDefault="00F6068D" w:rsidP="00F6068D">
            <w:pPr>
              <w:pStyle w:val="NormalWeb"/>
              <w:spacing w:before="0" w:beforeAutospacing="0" w:after="0" w:afterAutospacing="0"/>
              <w:jc w:val="both"/>
              <w:rPr>
                <w:rFonts w:ascii="Verdana" w:hAnsi="Verdana"/>
                <w:sz w:val="16"/>
                <w:szCs w:val="16"/>
              </w:rPr>
            </w:pPr>
            <w:r w:rsidRPr="008048D3">
              <w:rPr>
                <w:rFonts w:ascii="Verdana" w:hAnsi="Verdana"/>
                <w:sz w:val="16"/>
                <w:szCs w:val="16"/>
              </w:rPr>
              <w:t xml:space="preserve">Pagal </w:t>
            </w:r>
            <w:r w:rsidR="00B026D6" w:rsidRPr="008048D3">
              <w:rPr>
                <w:rFonts w:ascii="Verdana" w:hAnsi="Verdana"/>
                <w:sz w:val="16"/>
                <w:szCs w:val="16"/>
              </w:rPr>
              <w:t>Į</w:t>
            </w:r>
            <w:r w:rsidRPr="008048D3">
              <w:rPr>
                <w:rFonts w:ascii="Verdana" w:hAnsi="Verdana"/>
                <w:sz w:val="16"/>
                <w:szCs w:val="16"/>
              </w:rPr>
              <w:t xml:space="preserve">statų </w:t>
            </w:r>
            <w:r w:rsidR="00101ECA" w:rsidRPr="008048D3">
              <w:rPr>
                <w:rFonts w:ascii="Verdana" w:hAnsi="Verdana"/>
                <w:sz w:val="16"/>
                <w:szCs w:val="16"/>
              </w:rPr>
              <w:t xml:space="preserve">(toliau – </w:t>
            </w:r>
            <w:r w:rsidR="00101ECA" w:rsidRPr="008048D3">
              <w:rPr>
                <w:rFonts w:ascii="Verdana" w:hAnsi="Verdana"/>
                <w:b/>
                <w:sz w:val="16"/>
                <w:szCs w:val="16"/>
              </w:rPr>
              <w:t>Įstatų</w:t>
            </w:r>
            <w:r w:rsidR="00101ECA" w:rsidRPr="008048D3">
              <w:rPr>
                <w:rFonts w:ascii="Verdana" w:hAnsi="Verdana"/>
                <w:sz w:val="16"/>
                <w:szCs w:val="16"/>
              </w:rPr>
              <w:t xml:space="preserve">) </w:t>
            </w:r>
            <w:r w:rsidRPr="008048D3">
              <w:rPr>
                <w:rFonts w:ascii="Verdana" w:hAnsi="Verdana"/>
                <w:sz w:val="16"/>
                <w:szCs w:val="16"/>
              </w:rPr>
              <w:t>4 straipsnį, Bendrovės akcijos suteikia tokias teises:</w:t>
            </w:r>
          </w:p>
          <w:p w14:paraId="473D87FA" w14:textId="77777777" w:rsidR="00F6068D" w:rsidRPr="008048D3" w:rsidRDefault="00F6068D" w:rsidP="00F6068D">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gauti Bendrovės pelno dalį (dividendą);</w:t>
            </w:r>
          </w:p>
          <w:p w14:paraId="1E966674" w14:textId="043501BD" w:rsidR="00F6068D" w:rsidRPr="008048D3" w:rsidRDefault="00F6068D" w:rsidP="00F6068D">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gauti Bendrovės lėšų, kai Bendrovės įstatinis kapitalas mažinamas siekiant akcininkams išmokėti Bendrovės lėšų;</w:t>
            </w:r>
          </w:p>
          <w:p w14:paraId="0AE52172" w14:textId="1340D9D3" w:rsidR="00F6068D" w:rsidRPr="008048D3" w:rsidRDefault="00F6068D" w:rsidP="00F6068D">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gauti likviduojamos Bendrovės turto dalį;</w:t>
            </w:r>
          </w:p>
          <w:p w14:paraId="0F0F314A" w14:textId="39D3C6F8" w:rsidR="00F6068D" w:rsidRPr="008048D3" w:rsidRDefault="00F6068D" w:rsidP="00F6068D">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 xml:space="preserve">nemokamai gauti akcijų, kai Bendrovės įstatinis kapitalas didinamas iš Bendrovės lėšų, išskyrus Akcinių bendrovių įstatyme </w:t>
            </w:r>
            <w:r w:rsidR="00101ECA" w:rsidRPr="008048D3">
              <w:rPr>
                <w:rFonts w:ascii="Verdana" w:hAnsi="Verdana"/>
                <w:sz w:val="16"/>
                <w:szCs w:val="16"/>
              </w:rPr>
              <w:t xml:space="preserve">(toliau – </w:t>
            </w:r>
            <w:r w:rsidR="00101ECA" w:rsidRPr="008048D3">
              <w:rPr>
                <w:rFonts w:ascii="Verdana" w:hAnsi="Verdana"/>
                <w:b/>
                <w:sz w:val="16"/>
                <w:szCs w:val="16"/>
              </w:rPr>
              <w:t>Akcinių bendrovių įstatymas</w:t>
            </w:r>
            <w:r w:rsidR="00101ECA" w:rsidRPr="008048D3">
              <w:rPr>
                <w:rFonts w:ascii="Verdana" w:hAnsi="Verdana"/>
                <w:sz w:val="16"/>
                <w:szCs w:val="16"/>
              </w:rPr>
              <w:t xml:space="preserve">) </w:t>
            </w:r>
            <w:r w:rsidRPr="008048D3">
              <w:rPr>
                <w:rFonts w:ascii="Verdana" w:hAnsi="Verdana"/>
                <w:sz w:val="16"/>
                <w:szCs w:val="16"/>
              </w:rPr>
              <w:t>nustatytas išimtis;</w:t>
            </w:r>
          </w:p>
          <w:p w14:paraId="54E29376" w14:textId="51925EB4" w:rsidR="00F6068D" w:rsidRPr="008048D3" w:rsidRDefault="00F6068D" w:rsidP="00F6068D">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 xml:space="preserve">pirmumo teise įsigyti Bendrovės išleidžiamų akcijų ar konvertuojamųjų obligacijų, išskyrus atvejį, kai visuotinis akcininkų susirinkimas </w:t>
            </w:r>
            <w:r w:rsidR="00841524" w:rsidRPr="008048D3">
              <w:rPr>
                <w:rFonts w:ascii="Verdana" w:hAnsi="Verdana"/>
                <w:sz w:val="16"/>
                <w:szCs w:val="16"/>
              </w:rPr>
              <w:t xml:space="preserve">(toliau – </w:t>
            </w:r>
            <w:r w:rsidR="00841524" w:rsidRPr="008048D3">
              <w:rPr>
                <w:rFonts w:ascii="Verdana" w:hAnsi="Verdana"/>
                <w:b/>
                <w:sz w:val="16"/>
                <w:szCs w:val="16"/>
              </w:rPr>
              <w:t>visuotinis susirinkimas</w:t>
            </w:r>
            <w:r w:rsidR="00841524" w:rsidRPr="008048D3">
              <w:rPr>
                <w:rFonts w:ascii="Verdana" w:hAnsi="Verdana"/>
                <w:sz w:val="16"/>
                <w:szCs w:val="16"/>
              </w:rPr>
              <w:t xml:space="preserve">) </w:t>
            </w:r>
            <w:r w:rsidRPr="008048D3">
              <w:rPr>
                <w:rFonts w:ascii="Verdana" w:hAnsi="Verdana"/>
                <w:sz w:val="16"/>
                <w:szCs w:val="16"/>
              </w:rPr>
              <w:t xml:space="preserve">Akcinių bendrovių įstatymo nustatyta tvarka nusprendžia šią teisę visiems </w:t>
            </w:r>
            <w:r w:rsidR="00210573" w:rsidRPr="008048D3">
              <w:rPr>
                <w:rFonts w:ascii="Verdana" w:hAnsi="Verdana"/>
                <w:sz w:val="16"/>
                <w:szCs w:val="16"/>
              </w:rPr>
              <w:t>a</w:t>
            </w:r>
            <w:r w:rsidRPr="008048D3">
              <w:rPr>
                <w:rFonts w:ascii="Verdana" w:hAnsi="Verdana"/>
                <w:sz w:val="16"/>
                <w:szCs w:val="16"/>
              </w:rPr>
              <w:t>kcininkams atšaukti;</w:t>
            </w:r>
            <w:r w:rsidR="00210573" w:rsidRPr="008048D3">
              <w:rPr>
                <w:rFonts w:ascii="Verdana" w:hAnsi="Verdana"/>
                <w:sz w:val="16"/>
                <w:szCs w:val="16"/>
              </w:rPr>
              <w:t xml:space="preserve"> </w:t>
            </w:r>
          </w:p>
          <w:p w14:paraId="133FFCD2" w14:textId="6ECD477F" w:rsidR="00F6068D" w:rsidRPr="008048D3" w:rsidRDefault="00F6068D" w:rsidP="00F6068D">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 xml:space="preserve">perleisti visas arba kai kurias akcijas kitiems asmenims </w:t>
            </w:r>
            <w:r w:rsidR="00B026D6" w:rsidRPr="008048D3">
              <w:rPr>
                <w:rFonts w:ascii="Verdana" w:hAnsi="Verdana"/>
                <w:sz w:val="16"/>
                <w:szCs w:val="16"/>
              </w:rPr>
              <w:t>Į</w:t>
            </w:r>
            <w:r w:rsidRPr="008048D3">
              <w:rPr>
                <w:rFonts w:ascii="Verdana" w:hAnsi="Verdana"/>
                <w:sz w:val="16"/>
                <w:szCs w:val="16"/>
              </w:rPr>
              <w:t>statuose ir Lietuvos Respublikos įstatymuose ir kituose teisės aktuose numatyta tvarka. Akcininkai turi teisę kitiems asmenims perleisti tik visiškai apmokėtas akcijas;</w:t>
            </w:r>
          </w:p>
          <w:p w14:paraId="18D2CDCC" w14:textId="17ADECF2" w:rsidR="00F6068D" w:rsidRPr="008048D3" w:rsidRDefault="00F6068D" w:rsidP="00F6068D">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 xml:space="preserve">Lietuvos Respublikos įstatymų nustatytais būdais ir tvarka skolinti Bendrovei. Tačiau Bendrovė, skolindamasi iš savo </w:t>
            </w:r>
            <w:r w:rsidR="00210573" w:rsidRPr="008048D3">
              <w:rPr>
                <w:rFonts w:ascii="Verdana" w:hAnsi="Verdana"/>
                <w:sz w:val="16"/>
                <w:szCs w:val="16"/>
              </w:rPr>
              <w:t>a</w:t>
            </w:r>
            <w:r w:rsidRPr="008048D3">
              <w:rPr>
                <w:rFonts w:ascii="Verdana" w:hAnsi="Verdana"/>
                <w:sz w:val="16"/>
                <w:szCs w:val="16"/>
              </w:rPr>
              <w:t xml:space="preserve">kcininkų, neturi teisės įkeisti </w:t>
            </w:r>
            <w:r w:rsidR="00210573" w:rsidRPr="008048D3">
              <w:rPr>
                <w:rFonts w:ascii="Verdana" w:hAnsi="Verdana"/>
                <w:sz w:val="16"/>
                <w:szCs w:val="16"/>
              </w:rPr>
              <w:t>a</w:t>
            </w:r>
            <w:r w:rsidRPr="008048D3">
              <w:rPr>
                <w:rFonts w:ascii="Verdana" w:hAnsi="Verdana"/>
                <w:sz w:val="16"/>
                <w:szCs w:val="16"/>
              </w:rPr>
              <w:t xml:space="preserve">kcininkams savo turto. Bendrovei skolinantis iš </w:t>
            </w:r>
            <w:r w:rsidR="00210573" w:rsidRPr="008048D3">
              <w:rPr>
                <w:rFonts w:ascii="Verdana" w:hAnsi="Verdana"/>
                <w:sz w:val="16"/>
                <w:szCs w:val="16"/>
              </w:rPr>
              <w:t>a</w:t>
            </w:r>
            <w:r w:rsidRPr="008048D3">
              <w:rPr>
                <w:rFonts w:ascii="Verdana" w:hAnsi="Verdana"/>
                <w:sz w:val="16"/>
                <w:szCs w:val="16"/>
              </w:rPr>
              <w:t xml:space="preserve">kcininko, palūkanos negali viršyti paskolos davėjo gyvenamojoje ar verslo vietoje esančių komercinių bankų vidutinės palūkanų normos, galiojusios paskolos sutarties sudarymo momentu. Tokiu atveju Bendrovei ir </w:t>
            </w:r>
            <w:r w:rsidR="00210573" w:rsidRPr="008048D3">
              <w:rPr>
                <w:rFonts w:ascii="Verdana" w:hAnsi="Verdana"/>
                <w:sz w:val="16"/>
                <w:szCs w:val="16"/>
              </w:rPr>
              <w:t>a</w:t>
            </w:r>
            <w:r w:rsidRPr="008048D3">
              <w:rPr>
                <w:rFonts w:ascii="Verdana" w:hAnsi="Verdana"/>
                <w:sz w:val="16"/>
                <w:szCs w:val="16"/>
              </w:rPr>
              <w:t>kcininkams draudžiama susitarti dėl didesnių palūkanų;</w:t>
            </w:r>
          </w:p>
          <w:p w14:paraId="6A2DC5DA" w14:textId="77777777" w:rsidR="00F6068D" w:rsidRPr="008048D3" w:rsidRDefault="00F6068D" w:rsidP="00F6068D">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dalyvauti visuotiniuose akcininkų susirinkimuose su balso teise ir pagal akcijų suteikiamas teises balsuoti visuotiniuose akcininkų susirinkimuose;</w:t>
            </w:r>
          </w:p>
          <w:p w14:paraId="790C259E" w14:textId="77777777" w:rsidR="00F6068D" w:rsidRPr="008048D3" w:rsidRDefault="00F6068D" w:rsidP="00F6068D">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iš anksto Bendrovei pateikti klausimus, susijusius su visuotinių akcininkų susirinkimų darbotvarkės klausimais;</w:t>
            </w:r>
          </w:p>
          <w:p w14:paraId="620C0E0A" w14:textId="77777777" w:rsidR="00F6068D" w:rsidRPr="008048D3" w:rsidRDefault="00F6068D" w:rsidP="00F6068D">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gauti Akcinių bendrovių įstatyme nustatytą informaciją apie Bendrovę;</w:t>
            </w:r>
          </w:p>
          <w:p w14:paraId="0383885A" w14:textId="3AC9D645" w:rsidR="00F6068D" w:rsidRPr="008048D3" w:rsidRDefault="00F6068D" w:rsidP="00F6068D">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 xml:space="preserve">kreiptis į teismą su ieškiniu, prašant atlyginti Bendrovei žalą, kuri kilo dėl Bendrovės vadovo ir valdybos narių pareigų, nustatytų Lietuvos Respublikos įstatymuose bei Bendrovės </w:t>
            </w:r>
            <w:r w:rsidR="00B026D6" w:rsidRPr="008048D3">
              <w:rPr>
                <w:rFonts w:ascii="Verdana" w:hAnsi="Verdana"/>
                <w:sz w:val="16"/>
                <w:szCs w:val="16"/>
              </w:rPr>
              <w:t>Į</w:t>
            </w:r>
            <w:r w:rsidRPr="008048D3">
              <w:rPr>
                <w:rFonts w:ascii="Verdana" w:hAnsi="Verdana"/>
                <w:sz w:val="16"/>
                <w:szCs w:val="16"/>
              </w:rPr>
              <w:t>statuose, nevykdymo ar netinkamo vykdymo, taip pat kitais Lietuvos Respublikos įstatymuose numatytais atvejais;</w:t>
            </w:r>
          </w:p>
          <w:p w14:paraId="47467A90" w14:textId="378C7EF7" w:rsidR="008F65F5" w:rsidRPr="008048D3" w:rsidRDefault="00F6068D" w:rsidP="00210573">
            <w:pPr>
              <w:pStyle w:val="NormalWeb"/>
              <w:numPr>
                <w:ilvl w:val="0"/>
                <w:numId w:val="6"/>
              </w:numPr>
              <w:spacing w:before="0" w:beforeAutospacing="0" w:after="0" w:afterAutospacing="0"/>
              <w:ind w:left="310" w:hanging="284"/>
              <w:jc w:val="both"/>
              <w:rPr>
                <w:rFonts w:ascii="Verdana" w:hAnsi="Verdana"/>
                <w:sz w:val="16"/>
                <w:szCs w:val="16"/>
              </w:rPr>
            </w:pPr>
            <w:r w:rsidRPr="008048D3">
              <w:rPr>
                <w:rFonts w:ascii="Verdana" w:hAnsi="Verdana"/>
                <w:sz w:val="16"/>
                <w:szCs w:val="16"/>
              </w:rPr>
              <w:t xml:space="preserve">kitas įstatymų ir </w:t>
            </w:r>
            <w:r w:rsidR="00B026D6" w:rsidRPr="008048D3">
              <w:rPr>
                <w:rFonts w:ascii="Verdana" w:hAnsi="Verdana"/>
                <w:sz w:val="16"/>
                <w:szCs w:val="16"/>
              </w:rPr>
              <w:t>Į</w:t>
            </w:r>
            <w:r w:rsidRPr="008048D3">
              <w:rPr>
                <w:rFonts w:ascii="Verdana" w:hAnsi="Verdana"/>
                <w:sz w:val="16"/>
                <w:szCs w:val="16"/>
              </w:rPr>
              <w:t>statų nustatytas turtines ir neturtines teises.</w:t>
            </w:r>
          </w:p>
        </w:tc>
      </w:tr>
      <w:tr w:rsidR="008F65F5" w:rsidRPr="00CD3453" w14:paraId="21662D8E" w14:textId="77777777" w:rsidTr="00CA53A5">
        <w:tc>
          <w:tcPr>
            <w:tcW w:w="288" w:type="pct"/>
          </w:tcPr>
          <w:p w14:paraId="19A08F34"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C.5</w:t>
            </w:r>
          </w:p>
        </w:tc>
        <w:tc>
          <w:tcPr>
            <w:tcW w:w="621" w:type="pct"/>
            <w:gridSpan w:val="2"/>
          </w:tcPr>
          <w:p w14:paraId="3FA26BF9" w14:textId="5F0E5EB9" w:rsidR="008F65F5" w:rsidRPr="008048D3" w:rsidRDefault="00210573" w:rsidP="001568D8">
            <w:pPr>
              <w:spacing w:after="40"/>
              <w:rPr>
                <w:rFonts w:ascii="Verdana" w:hAnsi="Verdana" w:cs="Arial"/>
                <w:sz w:val="16"/>
                <w:szCs w:val="16"/>
                <w:lang w:val="lt-LT"/>
              </w:rPr>
            </w:pPr>
            <w:r w:rsidRPr="008048D3">
              <w:rPr>
                <w:rFonts w:ascii="Verdana" w:hAnsi="Verdana" w:cs="Arial"/>
                <w:sz w:val="16"/>
                <w:szCs w:val="16"/>
                <w:lang w:val="lt-LT"/>
              </w:rPr>
              <w:t xml:space="preserve">Apribojimai laisvai perleisti vertybinius popierius </w:t>
            </w:r>
          </w:p>
        </w:tc>
        <w:tc>
          <w:tcPr>
            <w:tcW w:w="4090" w:type="pct"/>
          </w:tcPr>
          <w:p w14:paraId="7712EDA2" w14:textId="61591117" w:rsidR="00E81212" w:rsidRPr="008048D3" w:rsidRDefault="00210573" w:rsidP="002A4A6C">
            <w:pPr>
              <w:jc w:val="both"/>
              <w:rPr>
                <w:rFonts w:ascii="Verdana" w:hAnsi="Verdana" w:cs="Arial"/>
                <w:sz w:val="16"/>
                <w:szCs w:val="16"/>
                <w:lang w:val="lt-LT"/>
              </w:rPr>
            </w:pPr>
            <w:r w:rsidRPr="008048D3">
              <w:rPr>
                <w:rFonts w:ascii="Verdana" w:hAnsi="Verdana"/>
                <w:sz w:val="16"/>
                <w:szCs w:val="16"/>
                <w:lang w:val="lt-LT"/>
              </w:rPr>
              <w:t xml:space="preserve">Nėra </w:t>
            </w:r>
            <w:r w:rsidR="009F6CEA" w:rsidRPr="008048D3">
              <w:rPr>
                <w:rFonts w:ascii="Verdana" w:hAnsi="Verdana"/>
                <w:sz w:val="16"/>
                <w:szCs w:val="16"/>
                <w:lang w:val="lt-LT"/>
              </w:rPr>
              <w:t xml:space="preserve">jokių taikytinuose įstatymuose numatytų </w:t>
            </w:r>
            <w:r w:rsidRPr="008048D3">
              <w:rPr>
                <w:rFonts w:ascii="Verdana" w:hAnsi="Verdana"/>
                <w:sz w:val="16"/>
                <w:szCs w:val="16"/>
                <w:lang w:val="lt-LT"/>
              </w:rPr>
              <w:t>apribojimų perleisti Akcijas (įskaitant Naujas akcijas)</w:t>
            </w:r>
            <w:r w:rsidR="005A7B58" w:rsidRPr="008048D3">
              <w:rPr>
                <w:rFonts w:ascii="Verdana" w:hAnsi="Verdana" w:cs="Arial"/>
                <w:sz w:val="16"/>
                <w:szCs w:val="16"/>
                <w:lang w:val="lt-LT"/>
              </w:rPr>
              <w:t>.</w:t>
            </w:r>
          </w:p>
          <w:p w14:paraId="1836F353" w14:textId="77777777" w:rsidR="005A7B58" w:rsidRPr="008048D3" w:rsidRDefault="005A7B58" w:rsidP="002A4A6C">
            <w:pPr>
              <w:jc w:val="both"/>
              <w:rPr>
                <w:rFonts w:ascii="Verdana" w:hAnsi="Verdana" w:cs="Arial"/>
                <w:sz w:val="16"/>
                <w:szCs w:val="16"/>
                <w:lang w:val="lt-LT"/>
              </w:rPr>
            </w:pPr>
          </w:p>
          <w:p w14:paraId="5514FE21" w14:textId="4ADB2E61" w:rsidR="005A29D6" w:rsidRPr="008048D3" w:rsidRDefault="00210573" w:rsidP="005A29D6">
            <w:pPr>
              <w:jc w:val="both"/>
              <w:rPr>
                <w:rFonts w:ascii="Verdana" w:hAnsi="Verdana" w:cs="Arial"/>
                <w:sz w:val="16"/>
                <w:szCs w:val="16"/>
                <w:lang w:val="lt-LT"/>
              </w:rPr>
            </w:pPr>
            <w:r w:rsidRPr="008048D3">
              <w:rPr>
                <w:rFonts w:ascii="Verdana" w:hAnsi="Verdana" w:cs="Arial"/>
                <w:sz w:val="16"/>
                <w:szCs w:val="16"/>
                <w:lang w:val="lt-LT"/>
              </w:rPr>
              <w:t xml:space="preserve">Tačiau Parduodantis akcininkas ir Pasaulinis pagrindinis platintojas </w:t>
            </w:r>
            <w:r w:rsidR="00EB5720" w:rsidRPr="008048D3">
              <w:rPr>
                <w:rFonts w:ascii="Verdana" w:hAnsi="Verdana" w:cs="Arial"/>
                <w:sz w:val="16"/>
                <w:szCs w:val="16"/>
                <w:lang w:val="lt-LT"/>
              </w:rPr>
              <w:t xml:space="preserve">(toliau – </w:t>
            </w:r>
            <w:r w:rsidR="00EB5720" w:rsidRPr="008048D3">
              <w:rPr>
                <w:rFonts w:ascii="Verdana" w:hAnsi="Verdana" w:cs="Arial"/>
                <w:b/>
                <w:sz w:val="16"/>
                <w:szCs w:val="16"/>
                <w:lang w:val="lt-LT"/>
              </w:rPr>
              <w:t>Pasaulinis pagrindinis platintojas</w:t>
            </w:r>
            <w:r w:rsidR="00EB5720" w:rsidRPr="008048D3">
              <w:rPr>
                <w:rFonts w:ascii="Verdana" w:hAnsi="Verdana" w:cs="Arial"/>
                <w:sz w:val="16"/>
                <w:szCs w:val="16"/>
                <w:lang w:val="lt-LT"/>
              </w:rPr>
              <w:t xml:space="preserve">) </w:t>
            </w:r>
            <w:r w:rsidRPr="008048D3">
              <w:rPr>
                <w:rFonts w:ascii="Verdana" w:hAnsi="Verdana" w:cs="Arial"/>
                <w:sz w:val="16"/>
                <w:szCs w:val="16"/>
                <w:lang w:val="lt-LT"/>
              </w:rPr>
              <w:t>yra pasirašę Susitarimą dėl kapitalo įšaldymo</w:t>
            </w:r>
            <w:r w:rsidR="00351270" w:rsidRPr="008048D3">
              <w:rPr>
                <w:rFonts w:ascii="Verdana" w:hAnsi="Verdana" w:cs="Arial"/>
                <w:sz w:val="16"/>
                <w:szCs w:val="16"/>
                <w:lang w:val="lt-LT"/>
              </w:rPr>
              <w:t xml:space="preserve"> (toliau – </w:t>
            </w:r>
            <w:r w:rsidR="00351270" w:rsidRPr="008048D3">
              <w:rPr>
                <w:rFonts w:ascii="Verdana" w:hAnsi="Verdana" w:cs="Arial"/>
                <w:b/>
                <w:sz w:val="16"/>
                <w:szCs w:val="16"/>
                <w:lang w:val="lt-LT"/>
              </w:rPr>
              <w:t>Susitarimas dėl kapitalo įšaldymo</w:t>
            </w:r>
            <w:r w:rsidR="00351270" w:rsidRPr="008048D3">
              <w:rPr>
                <w:rFonts w:ascii="Verdana" w:hAnsi="Verdana" w:cs="Arial"/>
                <w:sz w:val="16"/>
                <w:szCs w:val="16"/>
                <w:lang w:val="lt-LT"/>
              </w:rPr>
              <w:t>)</w:t>
            </w:r>
            <w:r w:rsidR="00674F2C" w:rsidRPr="008048D3">
              <w:rPr>
                <w:rFonts w:ascii="Verdana" w:hAnsi="Verdana" w:cs="Arial"/>
                <w:sz w:val="16"/>
                <w:szCs w:val="16"/>
                <w:lang w:val="lt-LT"/>
              </w:rPr>
              <w:t>, numatantį turimų akcijų (išskyrus Parduodamas akcijas) disponavimo apribojimus, kurie taikomi tam tikrą laikotarpį</w:t>
            </w:r>
            <w:r w:rsidR="005A29D6" w:rsidRPr="008048D3">
              <w:rPr>
                <w:rFonts w:ascii="Verdana" w:hAnsi="Verdana" w:cs="Arial"/>
                <w:sz w:val="16"/>
                <w:szCs w:val="16"/>
                <w:lang w:val="lt-LT"/>
              </w:rPr>
              <w:t>.</w:t>
            </w:r>
          </w:p>
        </w:tc>
      </w:tr>
      <w:tr w:rsidR="008F65F5" w:rsidRPr="00CD3453" w14:paraId="0ECC6F4F" w14:textId="77777777" w:rsidTr="00CA53A5">
        <w:tc>
          <w:tcPr>
            <w:tcW w:w="288" w:type="pct"/>
          </w:tcPr>
          <w:p w14:paraId="67EE53D6"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C.6</w:t>
            </w:r>
          </w:p>
        </w:tc>
        <w:tc>
          <w:tcPr>
            <w:tcW w:w="621" w:type="pct"/>
            <w:gridSpan w:val="2"/>
          </w:tcPr>
          <w:p w14:paraId="14532DAB" w14:textId="77777777" w:rsidR="00210573" w:rsidRPr="008048D3" w:rsidRDefault="00210573" w:rsidP="001568D8">
            <w:pPr>
              <w:rPr>
                <w:rFonts w:ascii="Verdana" w:hAnsi="Verdana" w:cs="Arial"/>
                <w:sz w:val="16"/>
                <w:szCs w:val="16"/>
                <w:lang w:val="lt-LT"/>
              </w:rPr>
            </w:pPr>
            <w:r w:rsidRPr="008048D3">
              <w:rPr>
                <w:rFonts w:ascii="Verdana" w:hAnsi="Verdana" w:cs="Arial"/>
                <w:sz w:val="16"/>
                <w:szCs w:val="16"/>
                <w:lang w:val="lt-LT"/>
              </w:rPr>
              <w:t xml:space="preserve">Įtraukimas į prekybą / reguliuojamų rinkų pavadinimai </w:t>
            </w:r>
          </w:p>
          <w:p w14:paraId="3D131BDF" w14:textId="560BC360" w:rsidR="008F65F5" w:rsidRPr="008048D3" w:rsidRDefault="008F65F5" w:rsidP="001568D8">
            <w:pPr>
              <w:rPr>
                <w:rFonts w:ascii="Verdana" w:hAnsi="Verdana" w:cs="Arial"/>
                <w:sz w:val="16"/>
                <w:szCs w:val="16"/>
                <w:lang w:val="lt-LT"/>
              </w:rPr>
            </w:pPr>
          </w:p>
        </w:tc>
        <w:tc>
          <w:tcPr>
            <w:tcW w:w="4090" w:type="pct"/>
          </w:tcPr>
          <w:p w14:paraId="1A2C4ACC" w14:textId="2851DDDD" w:rsidR="00FF51E8" w:rsidRPr="008048D3" w:rsidRDefault="0095277C" w:rsidP="00FF51E8">
            <w:pPr>
              <w:jc w:val="both"/>
              <w:rPr>
                <w:rFonts w:ascii="Verdana" w:hAnsi="Verdana" w:cs="Arial"/>
                <w:color w:val="000000" w:themeColor="text1"/>
                <w:sz w:val="16"/>
                <w:szCs w:val="16"/>
                <w:lang w:val="lt-LT" w:eastAsia="en-GB"/>
              </w:rPr>
            </w:pPr>
            <w:r w:rsidRPr="008048D3">
              <w:rPr>
                <w:rFonts w:ascii="Verdana" w:hAnsi="Verdana" w:cs="Arial"/>
                <w:color w:val="000000" w:themeColor="text1"/>
                <w:sz w:val="16"/>
                <w:szCs w:val="16"/>
                <w:lang w:val="lt-LT" w:eastAsia="en-GB"/>
              </w:rPr>
              <w:t xml:space="preserve">Visos Bendrovės Akcijos šiuo metu įtrauktos į </w:t>
            </w:r>
            <w:proofErr w:type="spellStart"/>
            <w:r w:rsidRPr="008048D3">
              <w:rPr>
                <w:rFonts w:ascii="Verdana" w:hAnsi="Verdana" w:cs="Arial"/>
                <w:sz w:val="16"/>
                <w:szCs w:val="16"/>
                <w:lang w:val="lt-LT"/>
              </w:rPr>
              <w:t>Nasdaq</w:t>
            </w:r>
            <w:proofErr w:type="spellEnd"/>
            <w:r w:rsidRPr="008048D3">
              <w:rPr>
                <w:rFonts w:ascii="Verdana" w:hAnsi="Verdana" w:cs="Arial"/>
                <w:sz w:val="16"/>
                <w:szCs w:val="16"/>
                <w:lang w:val="lt-LT"/>
              </w:rPr>
              <w:t xml:space="preserve"> Vilnius </w:t>
            </w:r>
            <w:r w:rsidR="00145FD4" w:rsidRPr="008048D3">
              <w:rPr>
                <w:rFonts w:ascii="Verdana" w:hAnsi="Verdana" w:cs="Arial"/>
                <w:sz w:val="16"/>
                <w:szCs w:val="16"/>
                <w:lang w:val="lt-LT"/>
              </w:rPr>
              <w:t xml:space="preserve">Baltijos </w:t>
            </w:r>
            <w:r w:rsidR="00052946" w:rsidRPr="008048D3">
              <w:rPr>
                <w:rFonts w:ascii="Verdana" w:hAnsi="Verdana" w:cs="Arial"/>
                <w:sz w:val="16"/>
                <w:szCs w:val="16"/>
                <w:lang w:val="lt-LT"/>
              </w:rPr>
              <w:t>Papildom</w:t>
            </w:r>
            <w:r w:rsidRPr="008048D3">
              <w:rPr>
                <w:rFonts w:ascii="Verdana" w:hAnsi="Verdana" w:cs="Arial"/>
                <w:sz w:val="16"/>
                <w:szCs w:val="16"/>
                <w:lang w:val="lt-LT"/>
              </w:rPr>
              <w:t xml:space="preserve">ąjį </w:t>
            </w:r>
            <w:r w:rsidR="007B3EF3" w:rsidRPr="008048D3">
              <w:rPr>
                <w:rFonts w:ascii="Verdana" w:hAnsi="Verdana" w:cs="Arial"/>
                <w:sz w:val="16"/>
                <w:szCs w:val="16"/>
                <w:lang w:val="lt-LT"/>
              </w:rPr>
              <w:t xml:space="preserve">prekybos </w:t>
            </w:r>
            <w:r w:rsidR="00052946" w:rsidRPr="008048D3">
              <w:rPr>
                <w:rFonts w:ascii="Verdana" w:hAnsi="Verdana" w:cs="Arial"/>
                <w:sz w:val="16"/>
                <w:szCs w:val="16"/>
                <w:lang w:val="lt-LT"/>
              </w:rPr>
              <w:t>sąraš</w:t>
            </w:r>
            <w:r w:rsidRPr="008048D3">
              <w:rPr>
                <w:rFonts w:ascii="Verdana" w:hAnsi="Verdana" w:cs="Arial"/>
                <w:sz w:val="16"/>
                <w:szCs w:val="16"/>
                <w:lang w:val="lt-LT"/>
              </w:rPr>
              <w:t>ą</w:t>
            </w:r>
            <w:r w:rsidR="00052946" w:rsidRPr="008048D3">
              <w:rPr>
                <w:rFonts w:ascii="Verdana" w:hAnsi="Verdana" w:cs="Arial"/>
                <w:sz w:val="16"/>
                <w:szCs w:val="16"/>
                <w:lang w:val="lt-LT"/>
              </w:rPr>
              <w:t xml:space="preserve"> ir </w:t>
            </w:r>
            <w:r w:rsidR="00455E4C" w:rsidRPr="008048D3">
              <w:rPr>
                <w:rFonts w:ascii="Verdana" w:hAnsi="Verdana" w:cs="Arial"/>
                <w:sz w:val="16"/>
                <w:szCs w:val="16"/>
                <w:lang w:val="lt-LT"/>
              </w:rPr>
              <w:t xml:space="preserve">WSE </w:t>
            </w:r>
            <w:r w:rsidR="00052946" w:rsidRPr="008048D3">
              <w:rPr>
                <w:rFonts w:ascii="Verdana" w:hAnsi="Verdana" w:cs="Arial"/>
                <w:sz w:val="16"/>
                <w:szCs w:val="16"/>
                <w:lang w:val="lt-LT"/>
              </w:rPr>
              <w:t>Papildom</w:t>
            </w:r>
            <w:r w:rsidRPr="008048D3">
              <w:rPr>
                <w:rFonts w:ascii="Verdana" w:hAnsi="Verdana" w:cs="Arial"/>
                <w:sz w:val="16"/>
                <w:szCs w:val="16"/>
                <w:lang w:val="lt-LT"/>
              </w:rPr>
              <w:t xml:space="preserve">ąjį </w:t>
            </w:r>
            <w:r w:rsidR="00052946" w:rsidRPr="008048D3">
              <w:rPr>
                <w:rFonts w:ascii="Verdana" w:hAnsi="Verdana" w:cs="Arial"/>
                <w:sz w:val="16"/>
                <w:szCs w:val="16"/>
                <w:lang w:val="lt-LT"/>
              </w:rPr>
              <w:t>sąraš</w:t>
            </w:r>
            <w:r w:rsidRPr="008048D3">
              <w:rPr>
                <w:rFonts w:ascii="Verdana" w:hAnsi="Verdana" w:cs="Arial"/>
                <w:sz w:val="16"/>
                <w:szCs w:val="16"/>
                <w:lang w:val="lt-LT"/>
              </w:rPr>
              <w:t>ą</w:t>
            </w:r>
            <w:r w:rsidR="00FB37E7" w:rsidRPr="008048D3">
              <w:rPr>
                <w:rFonts w:ascii="Verdana" w:hAnsi="Verdana" w:cs="Arial"/>
                <w:color w:val="000000" w:themeColor="text1"/>
                <w:sz w:val="16"/>
                <w:szCs w:val="16"/>
                <w:lang w:val="lt-LT" w:eastAsia="en-GB"/>
              </w:rPr>
              <w:t xml:space="preserve">. </w:t>
            </w:r>
            <w:r w:rsidRPr="008048D3">
              <w:rPr>
                <w:rFonts w:ascii="Verdana" w:hAnsi="Verdana" w:cs="Arial"/>
                <w:color w:val="000000" w:themeColor="text1"/>
                <w:sz w:val="16"/>
                <w:szCs w:val="16"/>
                <w:lang w:val="lt-LT" w:eastAsia="en-GB"/>
              </w:rPr>
              <w:t xml:space="preserve">2018 m. </w:t>
            </w:r>
            <w:r w:rsidR="00145FD4" w:rsidRPr="008048D3">
              <w:rPr>
                <w:rFonts w:ascii="Verdana" w:hAnsi="Verdana" w:cs="Arial"/>
                <w:color w:val="000000" w:themeColor="text1"/>
                <w:sz w:val="16"/>
                <w:szCs w:val="16"/>
                <w:lang w:val="lt-LT" w:eastAsia="en-GB"/>
              </w:rPr>
              <w:t xml:space="preserve">birželio 25 </w:t>
            </w:r>
            <w:r w:rsidRPr="008048D3">
              <w:rPr>
                <w:rFonts w:ascii="Verdana" w:hAnsi="Verdana" w:cs="Arial"/>
                <w:color w:val="000000" w:themeColor="text1"/>
                <w:sz w:val="16"/>
                <w:szCs w:val="16"/>
                <w:lang w:val="lt-LT" w:eastAsia="en-GB"/>
              </w:rPr>
              <w:t xml:space="preserve">d. Akcijų kaina prekybos sesijos pabaigoje </w:t>
            </w:r>
            <w:proofErr w:type="spellStart"/>
            <w:r w:rsidR="00FB37E7" w:rsidRPr="008048D3">
              <w:rPr>
                <w:rFonts w:ascii="Verdana" w:hAnsi="Verdana" w:cs="Arial"/>
                <w:sz w:val="16"/>
                <w:szCs w:val="16"/>
                <w:lang w:val="lt-LT"/>
              </w:rPr>
              <w:t>Nasdaq</w:t>
            </w:r>
            <w:proofErr w:type="spellEnd"/>
            <w:r w:rsidR="00FB37E7" w:rsidRPr="008048D3">
              <w:rPr>
                <w:rFonts w:ascii="Verdana" w:hAnsi="Verdana" w:cs="Arial"/>
                <w:color w:val="000000" w:themeColor="text1"/>
                <w:sz w:val="16"/>
                <w:szCs w:val="16"/>
                <w:lang w:val="lt-LT" w:eastAsia="en-GB"/>
              </w:rPr>
              <w:t xml:space="preserve"> Vilnius </w:t>
            </w:r>
            <w:r w:rsidRPr="008048D3">
              <w:rPr>
                <w:rFonts w:ascii="Verdana" w:hAnsi="Verdana" w:cs="Arial"/>
                <w:color w:val="000000" w:themeColor="text1"/>
                <w:sz w:val="16"/>
                <w:szCs w:val="16"/>
                <w:lang w:val="lt-LT" w:eastAsia="en-GB"/>
              </w:rPr>
              <w:t xml:space="preserve">buvo </w:t>
            </w:r>
            <w:r w:rsidR="00316632" w:rsidRPr="008048D3">
              <w:rPr>
                <w:rFonts w:ascii="Verdana" w:hAnsi="Verdana" w:cs="Arial"/>
                <w:color w:val="000000" w:themeColor="text1"/>
                <w:sz w:val="16"/>
                <w:szCs w:val="16"/>
                <w:lang w:val="lt-LT"/>
              </w:rPr>
              <w:t>0</w:t>
            </w:r>
            <w:r w:rsidRPr="008048D3">
              <w:rPr>
                <w:rFonts w:ascii="Verdana" w:hAnsi="Verdana" w:cs="Arial"/>
                <w:color w:val="000000" w:themeColor="text1"/>
                <w:sz w:val="16"/>
                <w:szCs w:val="16"/>
                <w:lang w:val="lt-LT"/>
              </w:rPr>
              <w:t>,</w:t>
            </w:r>
            <w:r w:rsidR="00145FD4" w:rsidRPr="008048D3">
              <w:rPr>
                <w:rFonts w:ascii="Verdana" w:hAnsi="Verdana" w:cs="Arial"/>
                <w:color w:val="000000" w:themeColor="text1"/>
                <w:sz w:val="16"/>
                <w:szCs w:val="16"/>
                <w:lang w:val="lt-LT"/>
              </w:rPr>
              <w:t>488</w:t>
            </w:r>
            <w:r w:rsidR="00316632" w:rsidRPr="008048D3">
              <w:rPr>
                <w:rFonts w:ascii="Verdana" w:hAnsi="Verdana" w:cs="Arial"/>
                <w:color w:val="000000" w:themeColor="text1"/>
                <w:sz w:val="16"/>
                <w:szCs w:val="16"/>
                <w:lang w:val="lt-LT"/>
              </w:rPr>
              <w:t xml:space="preserve"> </w:t>
            </w:r>
            <w:r w:rsidRPr="008048D3">
              <w:rPr>
                <w:rFonts w:ascii="Verdana" w:hAnsi="Verdana" w:cs="Arial"/>
                <w:color w:val="000000" w:themeColor="text1"/>
                <w:sz w:val="16"/>
                <w:szCs w:val="16"/>
                <w:lang w:val="lt-LT" w:eastAsia="en-GB"/>
              </w:rPr>
              <w:t xml:space="preserve">EUR, o </w:t>
            </w:r>
            <w:r w:rsidR="00455E4C" w:rsidRPr="008048D3">
              <w:rPr>
                <w:rFonts w:ascii="Verdana" w:hAnsi="Verdana" w:cs="Arial"/>
                <w:color w:val="000000" w:themeColor="text1"/>
                <w:sz w:val="16"/>
                <w:szCs w:val="16"/>
                <w:lang w:val="lt-LT" w:eastAsia="en-GB"/>
              </w:rPr>
              <w:t xml:space="preserve">WSE </w:t>
            </w:r>
            <w:r w:rsidR="00FB37E7" w:rsidRPr="008048D3">
              <w:rPr>
                <w:rFonts w:ascii="Verdana" w:hAnsi="Verdana" w:cs="Arial"/>
                <w:color w:val="000000" w:themeColor="text1"/>
                <w:sz w:val="16"/>
                <w:szCs w:val="16"/>
                <w:lang w:val="lt-LT"/>
              </w:rPr>
              <w:t>–</w:t>
            </w:r>
            <w:r w:rsidR="00455E4C" w:rsidRPr="008048D3">
              <w:rPr>
                <w:rFonts w:ascii="Verdana" w:hAnsi="Verdana" w:cs="Arial"/>
                <w:color w:val="000000" w:themeColor="text1"/>
                <w:sz w:val="16"/>
                <w:szCs w:val="16"/>
                <w:lang w:val="lt-LT"/>
              </w:rPr>
              <w:t xml:space="preserve"> </w:t>
            </w:r>
            <w:r w:rsidR="00316632" w:rsidRPr="008048D3">
              <w:rPr>
                <w:rFonts w:ascii="Verdana" w:hAnsi="Verdana" w:cs="Arial"/>
                <w:color w:val="000000" w:themeColor="text1"/>
                <w:sz w:val="16"/>
                <w:szCs w:val="16"/>
                <w:lang w:val="lt-LT"/>
              </w:rPr>
              <w:t>1</w:t>
            </w:r>
            <w:r w:rsidRPr="008048D3">
              <w:rPr>
                <w:rFonts w:ascii="Verdana" w:hAnsi="Verdana" w:cs="Arial"/>
                <w:color w:val="000000" w:themeColor="text1"/>
                <w:sz w:val="16"/>
                <w:szCs w:val="16"/>
                <w:lang w:val="lt-LT"/>
              </w:rPr>
              <w:t>,</w:t>
            </w:r>
            <w:r w:rsidR="00316632" w:rsidRPr="008048D3">
              <w:rPr>
                <w:rFonts w:ascii="Verdana" w:hAnsi="Verdana" w:cs="Arial"/>
                <w:color w:val="000000" w:themeColor="text1"/>
                <w:sz w:val="16"/>
                <w:szCs w:val="16"/>
                <w:lang w:val="lt-LT"/>
              </w:rPr>
              <w:t>64</w:t>
            </w:r>
            <w:r w:rsidRPr="008048D3">
              <w:rPr>
                <w:rFonts w:ascii="Verdana" w:hAnsi="Verdana" w:cs="Arial"/>
                <w:color w:val="000000" w:themeColor="text1"/>
                <w:sz w:val="16"/>
                <w:szCs w:val="16"/>
                <w:lang w:val="lt-LT"/>
              </w:rPr>
              <w:t xml:space="preserve"> PLN</w:t>
            </w:r>
            <w:r w:rsidR="00316632" w:rsidRPr="008048D3">
              <w:rPr>
                <w:rFonts w:ascii="Verdana" w:hAnsi="Verdana" w:cs="Arial"/>
                <w:color w:val="000000" w:themeColor="text1"/>
                <w:sz w:val="16"/>
                <w:szCs w:val="16"/>
                <w:lang w:val="lt-LT" w:eastAsia="en-GB"/>
              </w:rPr>
              <w:t xml:space="preserve">. </w:t>
            </w:r>
            <w:r w:rsidR="007B3EF3" w:rsidRPr="008048D3">
              <w:rPr>
                <w:rFonts w:ascii="Verdana" w:hAnsi="Verdana" w:cs="Arial"/>
                <w:color w:val="000000" w:themeColor="text1"/>
                <w:sz w:val="16"/>
                <w:szCs w:val="16"/>
                <w:lang w:val="lt-LT" w:eastAsia="en-GB"/>
              </w:rPr>
              <w:t>Bendrovė šiuo metu nėra išleidusi jokių kitų vertybinių popierių ir (arba) jokie kiti Bendrovės vertybiniai popieriai nėra įtraukti į prekybą reguliuojamoje rinkoje</w:t>
            </w:r>
            <w:r w:rsidR="00FB37E7" w:rsidRPr="008048D3">
              <w:rPr>
                <w:rFonts w:ascii="Verdana" w:hAnsi="Verdana" w:cs="Arial"/>
                <w:color w:val="000000" w:themeColor="text1"/>
                <w:sz w:val="16"/>
                <w:szCs w:val="16"/>
                <w:lang w:val="lt-LT" w:eastAsia="en-GB"/>
              </w:rPr>
              <w:t xml:space="preserve">. </w:t>
            </w:r>
            <w:r w:rsidRPr="008048D3">
              <w:rPr>
                <w:rFonts w:ascii="Verdana" w:hAnsi="Verdana" w:cs="Arial"/>
                <w:color w:val="000000" w:themeColor="text1"/>
                <w:sz w:val="16"/>
                <w:szCs w:val="16"/>
                <w:lang w:val="lt-LT" w:eastAsia="en-GB"/>
              </w:rPr>
              <w:t xml:space="preserve"> </w:t>
            </w:r>
            <w:r w:rsidR="007C7223" w:rsidRPr="008048D3">
              <w:rPr>
                <w:rFonts w:ascii="Verdana" w:hAnsi="Verdana" w:cs="Arial"/>
                <w:color w:val="000000" w:themeColor="text1"/>
                <w:sz w:val="16"/>
                <w:szCs w:val="16"/>
                <w:lang w:val="lt-LT" w:eastAsia="en-GB"/>
              </w:rPr>
              <w:t xml:space="preserve">  </w:t>
            </w:r>
          </w:p>
          <w:p w14:paraId="5C4AAE1C" w14:textId="77777777" w:rsidR="00FF51E8" w:rsidRPr="008048D3" w:rsidRDefault="00FF51E8" w:rsidP="00FF51E8">
            <w:pPr>
              <w:jc w:val="both"/>
              <w:rPr>
                <w:rFonts w:ascii="Verdana" w:hAnsi="Verdana" w:cs="Arial"/>
                <w:color w:val="000000" w:themeColor="text1"/>
                <w:sz w:val="16"/>
                <w:szCs w:val="16"/>
                <w:lang w:val="lt-LT" w:eastAsia="en-GB"/>
              </w:rPr>
            </w:pPr>
          </w:p>
          <w:p w14:paraId="21211FC4" w14:textId="69E892D4" w:rsidR="008F65F5" w:rsidRPr="008048D3" w:rsidRDefault="007B3EF3" w:rsidP="00FF51E8">
            <w:pPr>
              <w:jc w:val="both"/>
              <w:rPr>
                <w:rFonts w:ascii="Verdana" w:hAnsi="Verdana"/>
                <w:color w:val="1F497D" w:themeColor="text2"/>
                <w:sz w:val="16"/>
                <w:szCs w:val="16"/>
                <w:lang w:val="lt-LT"/>
              </w:rPr>
            </w:pPr>
            <w:r w:rsidRPr="008048D3">
              <w:rPr>
                <w:rFonts w:ascii="Verdana" w:hAnsi="Verdana" w:cs="Arial"/>
                <w:sz w:val="16"/>
                <w:szCs w:val="16"/>
                <w:lang w:val="lt-LT"/>
              </w:rPr>
              <w:t xml:space="preserve">Emitentas planuoja, kad po sėkmingo </w:t>
            </w:r>
            <w:r w:rsidR="00ED11C8" w:rsidRPr="008048D3">
              <w:rPr>
                <w:rFonts w:ascii="Verdana" w:hAnsi="Verdana" w:cs="Arial"/>
                <w:sz w:val="16"/>
                <w:szCs w:val="16"/>
                <w:lang w:val="lt-LT"/>
              </w:rPr>
              <w:t xml:space="preserve">Siūlymo įgyvendinimo </w:t>
            </w:r>
            <w:r w:rsidRPr="008048D3">
              <w:rPr>
                <w:rFonts w:ascii="Verdana" w:hAnsi="Verdana" w:cs="Arial"/>
                <w:sz w:val="16"/>
                <w:szCs w:val="16"/>
                <w:lang w:val="lt-LT"/>
              </w:rPr>
              <w:t>vis</w:t>
            </w:r>
            <w:r w:rsidR="00ED11C8" w:rsidRPr="008048D3">
              <w:rPr>
                <w:rFonts w:ascii="Verdana" w:hAnsi="Verdana" w:cs="Arial"/>
                <w:sz w:val="16"/>
                <w:szCs w:val="16"/>
                <w:lang w:val="lt-LT"/>
              </w:rPr>
              <w:t xml:space="preserve">omis jo </w:t>
            </w:r>
            <w:r w:rsidRPr="008048D3">
              <w:rPr>
                <w:rFonts w:ascii="Verdana" w:hAnsi="Verdana" w:cs="Arial"/>
                <w:sz w:val="16"/>
                <w:szCs w:val="16"/>
                <w:lang w:val="lt-LT"/>
              </w:rPr>
              <w:t>Akcij</w:t>
            </w:r>
            <w:r w:rsidR="00ED11C8" w:rsidRPr="008048D3">
              <w:rPr>
                <w:rFonts w:ascii="Verdana" w:hAnsi="Verdana" w:cs="Arial"/>
                <w:sz w:val="16"/>
                <w:szCs w:val="16"/>
                <w:lang w:val="lt-LT"/>
              </w:rPr>
              <w:t>omis</w:t>
            </w:r>
            <w:r w:rsidRPr="008048D3">
              <w:rPr>
                <w:rFonts w:ascii="Verdana" w:hAnsi="Verdana" w:cs="Arial"/>
                <w:sz w:val="16"/>
                <w:szCs w:val="16"/>
                <w:lang w:val="lt-LT"/>
              </w:rPr>
              <w:t xml:space="preserve"> (įskaitant Naujas akcijas) bus prekiaujama ne </w:t>
            </w:r>
            <w:proofErr w:type="spellStart"/>
            <w:r w:rsidR="007C7223" w:rsidRPr="008048D3">
              <w:rPr>
                <w:rFonts w:ascii="Verdana" w:hAnsi="Verdana" w:cs="Arial"/>
                <w:sz w:val="16"/>
                <w:szCs w:val="16"/>
                <w:lang w:val="lt-LT"/>
              </w:rPr>
              <w:t>Nasdaq</w:t>
            </w:r>
            <w:proofErr w:type="spellEnd"/>
            <w:r w:rsidR="007C7223" w:rsidRPr="008048D3">
              <w:rPr>
                <w:rFonts w:ascii="Verdana" w:hAnsi="Verdana" w:cs="Arial"/>
                <w:sz w:val="16"/>
                <w:szCs w:val="16"/>
                <w:lang w:val="lt-LT"/>
              </w:rPr>
              <w:t xml:space="preserve"> Vilnius </w:t>
            </w:r>
            <w:r w:rsidR="00ED11C8" w:rsidRPr="008048D3">
              <w:rPr>
                <w:rFonts w:ascii="Verdana" w:hAnsi="Verdana" w:cs="Arial"/>
                <w:sz w:val="16"/>
                <w:szCs w:val="16"/>
                <w:lang w:val="lt-LT"/>
              </w:rPr>
              <w:t xml:space="preserve">Baltijos </w:t>
            </w:r>
            <w:r w:rsidRPr="008048D3">
              <w:rPr>
                <w:rFonts w:ascii="Verdana" w:hAnsi="Verdana" w:cs="Arial"/>
                <w:sz w:val="16"/>
                <w:szCs w:val="16"/>
                <w:lang w:val="lt-LT"/>
              </w:rPr>
              <w:t>Papildomame prekybos sąraše, bet</w:t>
            </w:r>
            <w:r w:rsidR="00FF51E8" w:rsidRPr="008048D3">
              <w:rPr>
                <w:rFonts w:ascii="Verdana" w:hAnsi="Verdana" w:cs="Arial"/>
                <w:sz w:val="16"/>
                <w:szCs w:val="16"/>
                <w:lang w:val="lt-LT"/>
              </w:rPr>
              <w:t xml:space="preserve"> </w:t>
            </w:r>
            <w:proofErr w:type="spellStart"/>
            <w:r w:rsidR="007C7223" w:rsidRPr="008048D3">
              <w:rPr>
                <w:rFonts w:ascii="Verdana" w:hAnsi="Verdana" w:cs="Arial"/>
                <w:sz w:val="16"/>
                <w:szCs w:val="16"/>
                <w:lang w:val="lt-LT"/>
              </w:rPr>
              <w:t>Nasdaq</w:t>
            </w:r>
            <w:proofErr w:type="spellEnd"/>
            <w:r w:rsidR="007C7223" w:rsidRPr="008048D3">
              <w:rPr>
                <w:rFonts w:ascii="Verdana" w:hAnsi="Verdana" w:cs="Arial"/>
                <w:sz w:val="16"/>
                <w:szCs w:val="16"/>
                <w:lang w:val="lt-LT"/>
              </w:rPr>
              <w:t xml:space="preserve"> Vilnius </w:t>
            </w:r>
            <w:r w:rsidR="00ED11C8" w:rsidRPr="008048D3">
              <w:rPr>
                <w:rFonts w:ascii="Verdana" w:hAnsi="Verdana" w:cs="Arial"/>
                <w:sz w:val="16"/>
                <w:szCs w:val="16"/>
                <w:lang w:val="lt-LT"/>
              </w:rPr>
              <w:t xml:space="preserve">Baltijos </w:t>
            </w:r>
            <w:r w:rsidRPr="008048D3">
              <w:rPr>
                <w:rFonts w:ascii="Verdana" w:hAnsi="Verdana" w:cs="Arial"/>
                <w:sz w:val="16"/>
                <w:szCs w:val="16"/>
                <w:lang w:val="lt-LT"/>
              </w:rPr>
              <w:t>Oficialiajame prekybos sąraše</w:t>
            </w:r>
            <w:r w:rsidR="00FF51E8" w:rsidRPr="008048D3">
              <w:rPr>
                <w:rFonts w:ascii="Verdana" w:hAnsi="Verdana" w:cs="Arial"/>
                <w:sz w:val="16"/>
                <w:szCs w:val="16"/>
                <w:lang w:val="lt-LT"/>
              </w:rPr>
              <w:t xml:space="preserve">. </w:t>
            </w:r>
            <w:r w:rsidRPr="008048D3">
              <w:rPr>
                <w:rFonts w:ascii="Verdana" w:hAnsi="Verdana" w:cs="Arial"/>
                <w:sz w:val="16"/>
                <w:szCs w:val="16"/>
                <w:lang w:val="lt-LT"/>
              </w:rPr>
              <w:t xml:space="preserve">Šiuo tikslu Emitentas kreipėsi į </w:t>
            </w:r>
            <w:proofErr w:type="spellStart"/>
            <w:r w:rsidR="00FB37E7" w:rsidRPr="008048D3">
              <w:rPr>
                <w:rFonts w:ascii="Verdana" w:hAnsi="Verdana" w:cs="Arial"/>
                <w:color w:val="000000" w:themeColor="text1"/>
                <w:sz w:val="16"/>
                <w:szCs w:val="16"/>
                <w:lang w:val="lt-LT" w:eastAsia="en-GB"/>
              </w:rPr>
              <w:t>Nasdaq</w:t>
            </w:r>
            <w:proofErr w:type="spellEnd"/>
            <w:r w:rsidR="00FB37E7" w:rsidRPr="008048D3">
              <w:rPr>
                <w:rFonts w:ascii="Verdana" w:hAnsi="Verdana" w:cs="Arial"/>
                <w:color w:val="000000" w:themeColor="text1"/>
                <w:sz w:val="16"/>
                <w:szCs w:val="16"/>
                <w:lang w:val="lt-LT" w:eastAsia="en-GB"/>
              </w:rPr>
              <w:t xml:space="preserve"> Vilnius </w:t>
            </w:r>
            <w:r w:rsidRPr="008048D3">
              <w:rPr>
                <w:rFonts w:ascii="Verdana" w:hAnsi="Verdana" w:cs="Arial"/>
                <w:color w:val="000000" w:themeColor="text1"/>
                <w:sz w:val="16"/>
                <w:szCs w:val="16"/>
                <w:lang w:val="lt-LT" w:eastAsia="en-GB"/>
              </w:rPr>
              <w:t xml:space="preserve">prašydamas priimti sprendimą dėl sąlyginio Naujų akcijų įtraukimo į prekybą </w:t>
            </w:r>
            <w:proofErr w:type="spellStart"/>
            <w:r w:rsidR="00FB37E7" w:rsidRPr="008048D3">
              <w:rPr>
                <w:rFonts w:ascii="Verdana" w:hAnsi="Verdana" w:cs="Arial"/>
                <w:color w:val="000000" w:themeColor="text1"/>
                <w:sz w:val="16"/>
                <w:szCs w:val="16"/>
                <w:lang w:val="lt-LT" w:eastAsia="en-GB"/>
              </w:rPr>
              <w:t>Nasdaq</w:t>
            </w:r>
            <w:proofErr w:type="spellEnd"/>
            <w:r w:rsidR="00FB37E7" w:rsidRPr="008048D3">
              <w:rPr>
                <w:rFonts w:ascii="Verdana" w:hAnsi="Verdana" w:cs="Arial"/>
                <w:color w:val="000000" w:themeColor="text1"/>
                <w:sz w:val="16"/>
                <w:szCs w:val="16"/>
                <w:lang w:val="lt-LT" w:eastAsia="en-GB"/>
              </w:rPr>
              <w:t xml:space="preserve"> Vilnius</w:t>
            </w:r>
            <w:r w:rsidRPr="008048D3">
              <w:rPr>
                <w:rFonts w:ascii="Verdana" w:hAnsi="Verdana" w:cs="Arial"/>
                <w:sz w:val="16"/>
                <w:szCs w:val="16"/>
                <w:lang w:val="lt-LT"/>
              </w:rPr>
              <w:t xml:space="preserve"> </w:t>
            </w:r>
            <w:r w:rsidR="007C7223" w:rsidRPr="008048D3">
              <w:rPr>
                <w:rFonts w:ascii="Verdana" w:hAnsi="Verdana" w:cs="Arial"/>
                <w:sz w:val="16"/>
                <w:szCs w:val="16"/>
                <w:lang w:val="lt-LT"/>
              </w:rPr>
              <w:t xml:space="preserve">Baltijos </w:t>
            </w:r>
            <w:r w:rsidRPr="008048D3">
              <w:rPr>
                <w:rFonts w:ascii="Verdana" w:hAnsi="Verdana" w:cs="Arial"/>
                <w:sz w:val="16"/>
                <w:szCs w:val="16"/>
                <w:lang w:val="lt-LT"/>
              </w:rPr>
              <w:t>Oficialiajame prekybos sąraše</w:t>
            </w:r>
            <w:r w:rsidR="00FB37E7" w:rsidRPr="008048D3">
              <w:rPr>
                <w:rFonts w:ascii="Verdana" w:hAnsi="Verdana" w:cs="Arial"/>
                <w:color w:val="000000" w:themeColor="text1"/>
                <w:sz w:val="16"/>
                <w:szCs w:val="16"/>
                <w:lang w:val="lt-LT" w:eastAsia="en-GB"/>
              </w:rPr>
              <w:t xml:space="preserve">, </w:t>
            </w:r>
            <w:r w:rsidRPr="008048D3">
              <w:rPr>
                <w:rFonts w:ascii="Verdana" w:hAnsi="Verdana" w:cs="Arial"/>
                <w:color w:val="000000" w:themeColor="text1"/>
                <w:sz w:val="16"/>
                <w:szCs w:val="16"/>
                <w:lang w:val="lt-LT" w:eastAsia="en-GB"/>
              </w:rPr>
              <w:t xml:space="preserve">taip pat dėl visų </w:t>
            </w:r>
            <w:r w:rsidR="007C7223" w:rsidRPr="008048D3">
              <w:rPr>
                <w:rFonts w:ascii="Verdana" w:hAnsi="Verdana" w:cs="Arial"/>
                <w:color w:val="000000" w:themeColor="text1"/>
                <w:sz w:val="16"/>
                <w:szCs w:val="16"/>
                <w:lang w:val="lt-LT" w:eastAsia="en-GB"/>
              </w:rPr>
              <w:t xml:space="preserve">esamų </w:t>
            </w:r>
            <w:r w:rsidRPr="008048D3">
              <w:rPr>
                <w:rFonts w:ascii="Verdana" w:hAnsi="Verdana" w:cs="Arial"/>
                <w:color w:val="000000" w:themeColor="text1"/>
                <w:sz w:val="16"/>
                <w:szCs w:val="16"/>
                <w:lang w:val="lt-LT" w:eastAsia="en-GB"/>
              </w:rPr>
              <w:t xml:space="preserve">Akcijų </w:t>
            </w:r>
            <w:r w:rsidR="007C7223" w:rsidRPr="008048D3">
              <w:rPr>
                <w:rFonts w:ascii="Verdana" w:hAnsi="Verdana" w:cs="Arial"/>
                <w:color w:val="000000" w:themeColor="text1"/>
                <w:sz w:val="16"/>
                <w:szCs w:val="16"/>
                <w:lang w:val="lt-LT" w:eastAsia="en-GB"/>
              </w:rPr>
              <w:t xml:space="preserve">(įskaitant Parduodamas akcijas) </w:t>
            </w:r>
            <w:r w:rsidRPr="008048D3">
              <w:rPr>
                <w:rFonts w:ascii="Verdana" w:hAnsi="Verdana" w:cs="Arial"/>
                <w:color w:val="000000" w:themeColor="text1"/>
                <w:sz w:val="16"/>
                <w:szCs w:val="16"/>
                <w:lang w:val="lt-LT" w:eastAsia="en-GB"/>
              </w:rPr>
              <w:t xml:space="preserve">perkėlimo iš </w:t>
            </w:r>
            <w:r w:rsidR="007C7223" w:rsidRPr="008048D3">
              <w:rPr>
                <w:rFonts w:ascii="Verdana" w:hAnsi="Verdana" w:cs="Arial"/>
                <w:color w:val="000000" w:themeColor="text1"/>
                <w:sz w:val="16"/>
                <w:szCs w:val="16"/>
                <w:lang w:val="lt-LT" w:eastAsia="en-GB"/>
              </w:rPr>
              <w:t xml:space="preserve">Baltijos </w:t>
            </w:r>
            <w:r w:rsidRPr="008048D3">
              <w:rPr>
                <w:rFonts w:ascii="Verdana" w:hAnsi="Verdana" w:cs="Arial"/>
                <w:color w:val="000000" w:themeColor="text1"/>
                <w:sz w:val="16"/>
                <w:szCs w:val="16"/>
                <w:lang w:val="lt-LT" w:eastAsia="en-GB"/>
              </w:rPr>
              <w:t xml:space="preserve">Papildomojo prekybos sąrašo į </w:t>
            </w:r>
            <w:r w:rsidR="00FB37E7" w:rsidRPr="008048D3">
              <w:rPr>
                <w:rFonts w:ascii="Verdana" w:hAnsi="Verdana" w:cs="Arial"/>
                <w:color w:val="000000" w:themeColor="text1"/>
                <w:sz w:val="16"/>
                <w:szCs w:val="16"/>
                <w:lang w:val="lt-LT" w:eastAsia="en-GB"/>
              </w:rPr>
              <w:t>Balti</w:t>
            </w:r>
            <w:r w:rsidRPr="008048D3">
              <w:rPr>
                <w:rFonts w:ascii="Verdana" w:hAnsi="Verdana" w:cs="Arial"/>
                <w:color w:val="000000" w:themeColor="text1"/>
                <w:sz w:val="16"/>
                <w:szCs w:val="16"/>
                <w:lang w:val="lt-LT" w:eastAsia="en-GB"/>
              </w:rPr>
              <w:t>jos Oficialųjį prekybos sąrašą</w:t>
            </w:r>
            <w:r w:rsidR="00FB37E7" w:rsidRPr="008048D3">
              <w:rPr>
                <w:rFonts w:ascii="Verdana" w:hAnsi="Verdana" w:cs="Arial"/>
                <w:color w:val="000000" w:themeColor="text1"/>
                <w:sz w:val="16"/>
                <w:szCs w:val="16"/>
                <w:lang w:val="lt-LT" w:eastAsia="en-GB"/>
              </w:rPr>
              <w:t xml:space="preserve">. </w:t>
            </w:r>
            <w:r w:rsidR="0090132D" w:rsidRPr="008048D3">
              <w:rPr>
                <w:rFonts w:ascii="Verdana" w:hAnsi="Verdana" w:cs="Arial"/>
                <w:color w:val="000000" w:themeColor="text1"/>
                <w:sz w:val="16"/>
                <w:szCs w:val="16"/>
                <w:lang w:val="lt-LT" w:eastAsia="en-GB"/>
              </w:rPr>
              <w:t xml:space="preserve">2018 m. </w:t>
            </w:r>
            <w:r w:rsidR="007C7223" w:rsidRPr="008048D3">
              <w:rPr>
                <w:rFonts w:ascii="Verdana" w:hAnsi="Verdana" w:cs="Arial"/>
                <w:color w:val="000000" w:themeColor="text1"/>
                <w:sz w:val="16"/>
                <w:szCs w:val="16"/>
                <w:lang w:val="lt-LT" w:eastAsia="en-GB"/>
              </w:rPr>
              <w:t xml:space="preserve">birželio 26 </w:t>
            </w:r>
            <w:r w:rsidR="0090132D" w:rsidRPr="008048D3">
              <w:rPr>
                <w:rFonts w:ascii="Verdana" w:hAnsi="Verdana" w:cs="Arial"/>
                <w:color w:val="000000" w:themeColor="text1"/>
                <w:sz w:val="16"/>
                <w:szCs w:val="16"/>
                <w:lang w:val="lt-LT" w:eastAsia="en-GB"/>
              </w:rPr>
              <w:t xml:space="preserve">d. </w:t>
            </w:r>
            <w:proofErr w:type="spellStart"/>
            <w:r w:rsidR="00FB37E7" w:rsidRPr="008048D3">
              <w:rPr>
                <w:rFonts w:ascii="Verdana" w:hAnsi="Verdana" w:cs="Arial"/>
                <w:color w:val="000000" w:themeColor="text1"/>
                <w:sz w:val="16"/>
                <w:szCs w:val="16"/>
                <w:lang w:val="lt-LT" w:eastAsia="en-GB"/>
              </w:rPr>
              <w:t>Nasdaq</w:t>
            </w:r>
            <w:proofErr w:type="spellEnd"/>
            <w:r w:rsidR="00FB37E7" w:rsidRPr="008048D3">
              <w:rPr>
                <w:rFonts w:ascii="Verdana" w:hAnsi="Verdana" w:cs="Arial"/>
                <w:color w:val="000000" w:themeColor="text1"/>
                <w:sz w:val="16"/>
                <w:szCs w:val="16"/>
                <w:lang w:val="lt-LT" w:eastAsia="en-GB"/>
              </w:rPr>
              <w:t xml:space="preserve"> Vilnius </w:t>
            </w:r>
            <w:r w:rsidR="0090132D" w:rsidRPr="008048D3">
              <w:rPr>
                <w:rFonts w:ascii="Verdana" w:hAnsi="Verdana" w:cs="Arial"/>
                <w:color w:val="000000" w:themeColor="text1"/>
                <w:sz w:val="16"/>
                <w:szCs w:val="16"/>
                <w:lang w:val="lt-LT" w:eastAsia="en-GB"/>
              </w:rPr>
              <w:t>valdyb</w:t>
            </w:r>
            <w:r w:rsidR="000C54A7" w:rsidRPr="008048D3">
              <w:rPr>
                <w:rFonts w:ascii="Verdana" w:hAnsi="Verdana" w:cs="Arial"/>
                <w:color w:val="000000" w:themeColor="text1"/>
                <w:sz w:val="16"/>
                <w:szCs w:val="16"/>
                <w:lang w:val="lt-LT" w:eastAsia="en-GB"/>
              </w:rPr>
              <w:t>a</w:t>
            </w:r>
            <w:r w:rsidR="0090132D" w:rsidRPr="008048D3">
              <w:rPr>
                <w:rFonts w:ascii="Verdana" w:hAnsi="Verdana" w:cs="Arial"/>
                <w:color w:val="000000" w:themeColor="text1"/>
                <w:sz w:val="16"/>
                <w:szCs w:val="16"/>
                <w:lang w:val="lt-LT" w:eastAsia="en-GB"/>
              </w:rPr>
              <w:t xml:space="preserve"> </w:t>
            </w:r>
            <w:r w:rsidR="000C54A7" w:rsidRPr="008048D3">
              <w:rPr>
                <w:rFonts w:ascii="Verdana" w:hAnsi="Verdana" w:cs="Arial"/>
                <w:color w:val="000000" w:themeColor="text1"/>
                <w:sz w:val="16"/>
                <w:szCs w:val="16"/>
                <w:lang w:val="lt-LT" w:eastAsia="en-GB"/>
              </w:rPr>
              <w:t xml:space="preserve">priėmė atitinkamą sprendimą ir nustatė šias sąlygas, kurios turėtų būti įvykdytos iki 2018 m. </w:t>
            </w:r>
            <w:r w:rsidR="007C7223" w:rsidRPr="008048D3">
              <w:rPr>
                <w:rFonts w:ascii="Verdana" w:hAnsi="Verdana" w:cs="Arial"/>
                <w:color w:val="000000" w:themeColor="text1"/>
                <w:sz w:val="16"/>
                <w:szCs w:val="16"/>
                <w:lang w:val="lt-LT" w:eastAsia="en-GB"/>
              </w:rPr>
              <w:t xml:space="preserve">rugsėjo 30 </w:t>
            </w:r>
            <w:r w:rsidR="000C54A7" w:rsidRPr="008048D3">
              <w:rPr>
                <w:rFonts w:ascii="Verdana" w:hAnsi="Verdana" w:cs="Arial"/>
                <w:color w:val="000000" w:themeColor="text1"/>
                <w:sz w:val="16"/>
                <w:szCs w:val="16"/>
                <w:lang w:val="lt-LT" w:eastAsia="en-GB"/>
              </w:rPr>
              <w:t xml:space="preserve">d., kad Naujos akcijos būtų įtrauktos į </w:t>
            </w:r>
            <w:proofErr w:type="spellStart"/>
            <w:r w:rsidR="00FF51E8" w:rsidRPr="008048D3">
              <w:rPr>
                <w:rFonts w:ascii="Verdana" w:hAnsi="Verdana" w:cs="Arial"/>
                <w:color w:val="000000" w:themeColor="text1"/>
                <w:sz w:val="16"/>
                <w:szCs w:val="16"/>
                <w:lang w:val="lt-LT" w:eastAsia="en-GB"/>
              </w:rPr>
              <w:t>Nasdaq</w:t>
            </w:r>
            <w:proofErr w:type="spellEnd"/>
            <w:r w:rsidR="00FF51E8" w:rsidRPr="008048D3">
              <w:rPr>
                <w:rFonts w:ascii="Verdana" w:hAnsi="Verdana" w:cs="Arial"/>
                <w:color w:val="000000" w:themeColor="text1"/>
                <w:sz w:val="16"/>
                <w:szCs w:val="16"/>
                <w:lang w:val="lt-LT" w:eastAsia="en-GB"/>
              </w:rPr>
              <w:t xml:space="preserve"> Vilnius </w:t>
            </w:r>
            <w:r w:rsidR="007C7223" w:rsidRPr="008048D3">
              <w:rPr>
                <w:rFonts w:ascii="Verdana" w:hAnsi="Verdana" w:cs="Arial"/>
                <w:color w:val="000000" w:themeColor="text1"/>
                <w:sz w:val="16"/>
                <w:szCs w:val="16"/>
                <w:lang w:val="lt-LT" w:eastAsia="en-GB"/>
              </w:rPr>
              <w:t xml:space="preserve">Baltijos </w:t>
            </w:r>
            <w:r w:rsidR="000C54A7" w:rsidRPr="008048D3">
              <w:rPr>
                <w:rFonts w:ascii="Verdana" w:hAnsi="Verdana" w:cs="Arial"/>
                <w:color w:val="000000" w:themeColor="text1"/>
                <w:sz w:val="16"/>
                <w:szCs w:val="16"/>
                <w:lang w:val="lt-LT" w:eastAsia="en-GB"/>
              </w:rPr>
              <w:t xml:space="preserve">Oficialųjį prekybos sąrašą </w:t>
            </w:r>
            <w:r w:rsidR="00FF51E8" w:rsidRPr="008048D3">
              <w:rPr>
                <w:rFonts w:ascii="Verdana" w:hAnsi="Verdana" w:cs="Arial"/>
                <w:color w:val="000000" w:themeColor="text1"/>
                <w:sz w:val="16"/>
                <w:szCs w:val="16"/>
                <w:lang w:val="lt-LT" w:eastAsia="en-GB"/>
              </w:rPr>
              <w:t>(</w:t>
            </w:r>
            <w:r w:rsidR="000C54A7" w:rsidRPr="008048D3">
              <w:rPr>
                <w:rFonts w:ascii="Verdana" w:hAnsi="Verdana" w:cs="Arial"/>
                <w:color w:val="000000" w:themeColor="text1"/>
                <w:sz w:val="16"/>
                <w:szCs w:val="16"/>
                <w:lang w:val="lt-LT" w:eastAsia="en-GB"/>
              </w:rPr>
              <w:t>o esamos Akcijos būtų į jį perkeltos</w:t>
            </w:r>
            <w:r w:rsidR="00FF51E8" w:rsidRPr="008048D3">
              <w:rPr>
                <w:rFonts w:ascii="Verdana" w:hAnsi="Verdana" w:cs="Arial"/>
                <w:color w:val="000000" w:themeColor="text1"/>
                <w:sz w:val="16"/>
                <w:szCs w:val="16"/>
                <w:lang w:val="lt-LT" w:eastAsia="en-GB"/>
              </w:rPr>
              <w:t xml:space="preserve">): a) </w:t>
            </w:r>
            <w:r w:rsidR="007C7223" w:rsidRPr="008048D3">
              <w:rPr>
                <w:rFonts w:ascii="Verdana" w:hAnsi="Verdana" w:cs="Arial"/>
                <w:color w:val="000000" w:themeColor="text1"/>
                <w:sz w:val="16"/>
                <w:szCs w:val="16"/>
                <w:lang w:val="lt-LT" w:eastAsia="en-GB"/>
              </w:rPr>
              <w:t>A</w:t>
            </w:r>
            <w:r w:rsidR="00C01296" w:rsidRPr="008048D3">
              <w:rPr>
                <w:rFonts w:ascii="Verdana" w:hAnsi="Verdana" w:cs="Arial"/>
                <w:color w:val="000000" w:themeColor="text1"/>
                <w:sz w:val="16"/>
                <w:szCs w:val="16"/>
                <w:lang w:val="lt-LT" w:eastAsia="en-GB"/>
              </w:rPr>
              <w:t xml:space="preserve">kcijos </w:t>
            </w:r>
            <w:r w:rsidR="008D1872" w:rsidRPr="008048D3">
              <w:rPr>
                <w:rFonts w:ascii="Verdana" w:hAnsi="Verdana" w:cs="Arial"/>
                <w:color w:val="000000" w:themeColor="text1"/>
                <w:sz w:val="16"/>
                <w:szCs w:val="16"/>
                <w:lang w:val="lt-LT" w:eastAsia="en-GB"/>
              </w:rPr>
              <w:t>turi būti</w:t>
            </w:r>
            <w:r w:rsidR="00C01296" w:rsidRPr="008048D3">
              <w:rPr>
                <w:rFonts w:ascii="Verdana" w:hAnsi="Verdana" w:cs="Arial"/>
                <w:color w:val="000000" w:themeColor="text1"/>
                <w:sz w:val="16"/>
                <w:szCs w:val="16"/>
                <w:lang w:val="lt-LT" w:eastAsia="en-GB"/>
              </w:rPr>
              <w:t xml:space="preserve"> išplatintos viešai, kad būtų tenkinam</w:t>
            </w:r>
            <w:r w:rsidR="007C7223" w:rsidRPr="008048D3">
              <w:rPr>
                <w:rFonts w:ascii="Verdana" w:hAnsi="Verdana" w:cs="Arial"/>
                <w:color w:val="000000" w:themeColor="text1"/>
                <w:sz w:val="16"/>
                <w:szCs w:val="16"/>
                <w:lang w:val="lt-LT" w:eastAsia="en-GB"/>
              </w:rPr>
              <w:t>as</w:t>
            </w:r>
            <w:r w:rsidR="00C01296" w:rsidRPr="008048D3">
              <w:rPr>
                <w:rFonts w:ascii="Verdana" w:hAnsi="Verdana" w:cs="Arial"/>
                <w:color w:val="000000" w:themeColor="text1"/>
                <w:sz w:val="16"/>
                <w:szCs w:val="16"/>
                <w:lang w:val="lt-LT" w:eastAsia="en-GB"/>
              </w:rPr>
              <w:t xml:space="preserve"> reikalavim</w:t>
            </w:r>
            <w:r w:rsidR="007C7223" w:rsidRPr="008048D3">
              <w:rPr>
                <w:rFonts w:ascii="Verdana" w:hAnsi="Verdana" w:cs="Arial"/>
                <w:color w:val="000000" w:themeColor="text1"/>
                <w:sz w:val="16"/>
                <w:szCs w:val="16"/>
                <w:lang w:val="lt-LT" w:eastAsia="en-GB"/>
              </w:rPr>
              <w:t>as</w:t>
            </w:r>
            <w:r w:rsidR="00C01296" w:rsidRPr="008048D3">
              <w:rPr>
                <w:rFonts w:ascii="Verdana" w:hAnsi="Verdana" w:cs="Arial"/>
                <w:color w:val="000000" w:themeColor="text1"/>
                <w:sz w:val="16"/>
                <w:szCs w:val="16"/>
                <w:lang w:val="lt-LT" w:eastAsia="en-GB"/>
              </w:rPr>
              <w:t xml:space="preserve"> dėl pakankamos laisvųjų akcijų dalies</w:t>
            </w:r>
            <w:r w:rsidR="007C7223" w:rsidRPr="008048D3">
              <w:rPr>
                <w:rFonts w:ascii="Verdana" w:hAnsi="Verdana" w:cs="Arial"/>
                <w:color w:val="000000" w:themeColor="text1"/>
                <w:sz w:val="16"/>
                <w:szCs w:val="16"/>
                <w:lang w:val="lt-LT" w:eastAsia="en-GB"/>
              </w:rPr>
              <w:t xml:space="preserve">, b) Bendrovė turi </w:t>
            </w:r>
            <w:proofErr w:type="spellStart"/>
            <w:r w:rsidR="007C7223" w:rsidRPr="008048D3">
              <w:rPr>
                <w:rFonts w:ascii="Verdana" w:hAnsi="Verdana" w:cs="Arial"/>
                <w:color w:val="000000" w:themeColor="text1"/>
                <w:sz w:val="16"/>
                <w:szCs w:val="16"/>
                <w:lang w:val="lt-LT" w:eastAsia="en-GB"/>
              </w:rPr>
              <w:t>Nasdaq</w:t>
            </w:r>
            <w:proofErr w:type="spellEnd"/>
            <w:r w:rsidR="007C7223" w:rsidRPr="008048D3">
              <w:rPr>
                <w:rFonts w:ascii="Verdana" w:hAnsi="Verdana" w:cs="Arial"/>
                <w:color w:val="000000" w:themeColor="text1"/>
                <w:sz w:val="16"/>
                <w:szCs w:val="16"/>
                <w:lang w:val="lt-LT" w:eastAsia="en-GB"/>
              </w:rPr>
              <w:t xml:space="preserve"> Vilnius pateikti ataskaitą dėl </w:t>
            </w:r>
            <w:r w:rsidR="00FE14DE" w:rsidRPr="008048D3">
              <w:rPr>
                <w:rFonts w:ascii="Verdana" w:hAnsi="Verdana" w:cs="Arial"/>
                <w:color w:val="000000" w:themeColor="text1"/>
                <w:sz w:val="16"/>
                <w:szCs w:val="16"/>
                <w:lang w:val="lt-LT" w:eastAsia="en-GB"/>
              </w:rPr>
              <w:t xml:space="preserve">pirmiau nurodytos sąlygos ir </w:t>
            </w:r>
            <w:proofErr w:type="spellStart"/>
            <w:r w:rsidR="00FE14DE" w:rsidRPr="008048D3">
              <w:rPr>
                <w:rFonts w:ascii="Verdana" w:hAnsi="Verdana" w:cs="Arial"/>
                <w:color w:val="000000" w:themeColor="text1"/>
                <w:sz w:val="16"/>
                <w:szCs w:val="16"/>
                <w:lang w:val="lt-LT" w:eastAsia="en-GB"/>
              </w:rPr>
              <w:t>Nasdaq</w:t>
            </w:r>
            <w:proofErr w:type="spellEnd"/>
            <w:r w:rsidR="00FE14DE" w:rsidRPr="008048D3">
              <w:rPr>
                <w:rFonts w:ascii="Verdana" w:hAnsi="Verdana" w:cs="Arial"/>
                <w:color w:val="000000" w:themeColor="text1"/>
                <w:sz w:val="16"/>
                <w:szCs w:val="16"/>
                <w:lang w:val="lt-LT" w:eastAsia="en-GB"/>
              </w:rPr>
              <w:t xml:space="preserve"> Vilnius valdybos sprendimo įvykdymo</w:t>
            </w:r>
            <w:r w:rsidR="007C7223" w:rsidRPr="008048D3">
              <w:rPr>
                <w:rFonts w:ascii="Verdana" w:hAnsi="Verdana" w:cs="Arial"/>
                <w:color w:val="000000" w:themeColor="text1"/>
                <w:sz w:val="16"/>
                <w:szCs w:val="16"/>
                <w:lang w:val="lt-LT" w:eastAsia="en-GB"/>
              </w:rPr>
              <w:t xml:space="preserve">, </w:t>
            </w:r>
            <w:r w:rsidR="00FE14DE" w:rsidRPr="008048D3">
              <w:rPr>
                <w:rFonts w:ascii="Verdana" w:hAnsi="Verdana" w:cs="Arial"/>
                <w:color w:val="000000" w:themeColor="text1"/>
                <w:sz w:val="16"/>
                <w:szCs w:val="16"/>
                <w:lang w:val="lt-LT" w:eastAsia="en-GB"/>
              </w:rPr>
              <w:t xml:space="preserve">patvirtindama, kad Emitentas ir jo </w:t>
            </w:r>
            <w:r w:rsidR="007C7223" w:rsidRPr="008048D3">
              <w:rPr>
                <w:rFonts w:ascii="Verdana" w:hAnsi="Verdana" w:cs="Arial"/>
                <w:color w:val="000000" w:themeColor="text1"/>
                <w:sz w:val="16"/>
                <w:szCs w:val="16"/>
                <w:lang w:val="lt-LT" w:eastAsia="en-GB"/>
              </w:rPr>
              <w:t>finan</w:t>
            </w:r>
            <w:r w:rsidR="00FE14DE" w:rsidRPr="008048D3">
              <w:rPr>
                <w:rFonts w:ascii="Verdana" w:hAnsi="Verdana" w:cs="Arial"/>
                <w:color w:val="000000" w:themeColor="text1"/>
                <w:sz w:val="16"/>
                <w:szCs w:val="16"/>
                <w:lang w:val="lt-LT" w:eastAsia="en-GB"/>
              </w:rPr>
              <w:t xml:space="preserve">sinės priemonės atitinka visus </w:t>
            </w:r>
            <w:proofErr w:type="spellStart"/>
            <w:r w:rsidR="00FE14DE" w:rsidRPr="008048D3">
              <w:rPr>
                <w:rFonts w:ascii="Verdana" w:hAnsi="Verdana" w:cs="Arial"/>
                <w:color w:val="000000" w:themeColor="text1"/>
                <w:sz w:val="16"/>
                <w:szCs w:val="16"/>
                <w:lang w:val="lt-LT" w:eastAsia="en-GB"/>
              </w:rPr>
              <w:t>Listingavimo</w:t>
            </w:r>
            <w:proofErr w:type="spellEnd"/>
            <w:r w:rsidR="00FE14DE" w:rsidRPr="008048D3">
              <w:rPr>
                <w:rFonts w:ascii="Verdana" w:hAnsi="Verdana" w:cs="Arial"/>
                <w:color w:val="000000" w:themeColor="text1"/>
                <w:sz w:val="16"/>
                <w:szCs w:val="16"/>
                <w:lang w:val="lt-LT" w:eastAsia="en-GB"/>
              </w:rPr>
              <w:t xml:space="preserve"> taisyklėse numatytus reikalavimus</w:t>
            </w:r>
            <w:r w:rsidR="00FB37E7" w:rsidRPr="008048D3">
              <w:rPr>
                <w:rFonts w:ascii="Verdana" w:hAnsi="Verdana" w:cs="Arial"/>
                <w:color w:val="000000" w:themeColor="text1"/>
                <w:sz w:val="16"/>
                <w:szCs w:val="16"/>
                <w:lang w:val="lt-LT" w:eastAsia="en-GB"/>
              </w:rPr>
              <w:t xml:space="preserve">. </w:t>
            </w:r>
            <w:r w:rsidR="00C01296" w:rsidRPr="008048D3">
              <w:rPr>
                <w:rFonts w:ascii="Verdana" w:hAnsi="Verdana" w:cs="Arial"/>
                <w:color w:val="000000" w:themeColor="text1"/>
                <w:sz w:val="16"/>
                <w:szCs w:val="16"/>
                <w:lang w:val="lt-LT" w:eastAsia="en-GB"/>
              </w:rPr>
              <w:t xml:space="preserve">Emitentas tikisi, kad prekyba Naujomis akcijomis </w:t>
            </w:r>
            <w:r w:rsidR="00455E4C" w:rsidRPr="008048D3">
              <w:rPr>
                <w:rFonts w:ascii="Verdana" w:hAnsi="Verdana" w:cs="Arial"/>
                <w:color w:val="000000" w:themeColor="text1"/>
                <w:sz w:val="16"/>
                <w:szCs w:val="16"/>
                <w:lang w:val="lt-LT" w:eastAsia="en-GB"/>
              </w:rPr>
              <w:t xml:space="preserve">WSE </w:t>
            </w:r>
            <w:r w:rsidR="00C01296" w:rsidRPr="008048D3">
              <w:rPr>
                <w:rFonts w:ascii="Verdana" w:hAnsi="Verdana" w:cs="Arial"/>
                <w:color w:val="000000" w:themeColor="text1"/>
                <w:sz w:val="16"/>
                <w:szCs w:val="16"/>
                <w:lang w:val="lt-LT" w:eastAsia="en-GB"/>
              </w:rPr>
              <w:t xml:space="preserve">ir </w:t>
            </w:r>
            <w:proofErr w:type="spellStart"/>
            <w:r w:rsidR="00FB37E7" w:rsidRPr="008048D3">
              <w:rPr>
                <w:rFonts w:ascii="Verdana" w:hAnsi="Verdana" w:cs="Arial"/>
                <w:color w:val="000000" w:themeColor="text1"/>
                <w:sz w:val="16"/>
                <w:szCs w:val="16"/>
                <w:lang w:val="lt-LT" w:eastAsia="en-GB"/>
              </w:rPr>
              <w:t>Nasdaq</w:t>
            </w:r>
            <w:proofErr w:type="spellEnd"/>
            <w:r w:rsidR="00FB37E7" w:rsidRPr="008048D3">
              <w:rPr>
                <w:rFonts w:ascii="Verdana" w:hAnsi="Verdana" w:cs="Arial"/>
                <w:color w:val="000000" w:themeColor="text1"/>
                <w:sz w:val="16"/>
                <w:szCs w:val="16"/>
                <w:lang w:val="lt-LT" w:eastAsia="en-GB"/>
              </w:rPr>
              <w:t xml:space="preserve"> Vilnius </w:t>
            </w:r>
            <w:r w:rsidR="00C01296" w:rsidRPr="008048D3">
              <w:rPr>
                <w:rFonts w:ascii="Verdana" w:hAnsi="Verdana" w:cs="Arial"/>
                <w:color w:val="000000" w:themeColor="text1"/>
                <w:sz w:val="16"/>
                <w:szCs w:val="16"/>
                <w:lang w:val="lt-LT" w:eastAsia="en-GB"/>
              </w:rPr>
              <w:t xml:space="preserve">prasidės 2018 m. </w:t>
            </w:r>
            <w:r w:rsidR="007C7223" w:rsidRPr="008048D3">
              <w:rPr>
                <w:rFonts w:ascii="Verdana" w:hAnsi="Verdana" w:cs="Arial"/>
                <w:color w:val="000000" w:themeColor="text1"/>
                <w:sz w:val="16"/>
                <w:szCs w:val="16"/>
                <w:lang w:val="lt-LT" w:eastAsia="en-GB"/>
              </w:rPr>
              <w:t>rugpjūčio 3 d. arba maždaug tuo metu</w:t>
            </w:r>
            <w:r w:rsidR="00FB37E7" w:rsidRPr="008048D3">
              <w:rPr>
                <w:rFonts w:ascii="Verdana" w:hAnsi="Verdana" w:cs="Arial"/>
                <w:color w:val="000000" w:themeColor="text1"/>
                <w:sz w:val="16"/>
                <w:szCs w:val="16"/>
                <w:lang w:val="lt-LT" w:eastAsia="en-GB"/>
              </w:rPr>
              <w:t>.</w:t>
            </w:r>
          </w:p>
        </w:tc>
      </w:tr>
      <w:tr w:rsidR="008F65F5" w:rsidRPr="008048D3" w14:paraId="233EFC1A" w14:textId="77777777" w:rsidTr="00CA53A5">
        <w:tc>
          <w:tcPr>
            <w:tcW w:w="288" w:type="pct"/>
            <w:tcBorders>
              <w:bottom w:val="single" w:sz="4" w:space="0" w:color="808080"/>
            </w:tcBorders>
          </w:tcPr>
          <w:p w14:paraId="53D6D9A7"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C.7</w:t>
            </w:r>
          </w:p>
        </w:tc>
        <w:tc>
          <w:tcPr>
            <w:tcW w:w="621" w:type="pct"/>
            <w:gridSpan w:val="2"/>
            <w:tcBorders>
              <w:bottom w:val="single" w:sz="4" w:space="0" w:color="808080"/>
            </w:tcBorders>
          </w:tcPr>
          <w:p w14:paraId="7468BF18" w14:textId="2FCFD302" w:rsidR="008F65F5" w:rsidRPr="008048D3" w:rsidRDefault="008D1872" w:rsidP="008F65F5">
            <w:pPr>
              <w:spacing w:after="40"/>
              <w:rPr>
                <w:rFonts w:ascii="Verdana" w:hAnsi="Verdana" w:cs="Arial"/>
                <w:sz w:val="16"/>
                <w:szCs w:val="16"/>
                <w:lang w:val="lt-LT"/>
              </w:rPr>
            </w:pPr>
            <w:r w:rsidRPr="008048D3">
              <w:rPr>
                <w:rFonts w:ascii="Verdana" w:hAnsi="Verdana" w:cs="Arial"/>
                <w:sz w:val="16"/>
                <w:szCs w:val="16"/>
                <w:lang w:val="lt-LT"/>
              </w:rPr>
              <w:t xml:space="preserve">Dividendų mokėjimo tvarka </w:t>
            </w:r>
          </w:p>
        </w:tc>
        <w:tc>
          <w:tcPr>
            <w:tcW w:w="4090" w:type="pct"/>
            <w:tcBorders>
              <w:bottom w:val="single" w:sz="4" w:space="0" w:color="808080"/>
            </w:tcBorders>
          </w:tcPr>
          <w:p w14:paraId="463B70F7" w14:textId="7C43BAC8" w:rsidR="008D1872" w:rsidRPr="008048D3" w:rsidRDefault="008D1872" w:rsidP="008D1872">
            <w:pPr>
              <w:jc w:val="both"/>
              <w:rPr>
                <w:rFonts w:ascii="Verdana" w:hAnsi="Verdana"/>
                <w:sz w:val="16"/>
                <w:szCs w:val="16"/>
                <w:lang w:val="lt-LT"/>
              </w:rPr>
            </w:pPr>
            <w:r w:rsidRPr="008048D3">
              <w:rPr>
                <w:rFonts w:ascii="Verdana" w:hAnsi="Verdana"/>
                <w:sz w:val="16"/>
                <w:szCs w:val="16"/>
                <w:lang w:val="lt-LT"/>
              </w:rPr>
              <w:t xml:space="preserve">Bendrovė neturi patvirtintos dividendų mokėjimo tvarkos ir jokių dividendų mokėjimo apribojimų. </w:t>
            </w:r>
            <w:r w:rsidR="009E7BA7" w:rsidRPr="008048D3">
              <w:rPr>
                <w:rFonts w:ascii="Verdana" w:hAnsi="Verdana"/>
                <w:sz w:val="16"/>
                <w:szCs w:val="16"/>
                <w:lang w:val="lt-LT"/>
              </w:rPr>
              <w:t>Sprendimą dėl dividendų paskirstymo akcininkams priima visuotinis susirinkimas</w:t>
            </w:r>
            <w:r w:rsidRPr="008048D3">
              <w:rPr>
                <w:rFonts w:ascii="Verdana" w:hAnsi="Verdana"/>
                <w:sz w:val="16"/>
                <w:szCs w:val="16"/>
                <w:lang w:val="lt-LT"/>
              </w:rPr>
              <w:t xml:space="preserve">, </w:t>
            </w:r>
            <w:r w:rsidR="009E7BA7" w:rsidRPr="008048D3">
              <w:rPr>
                <w:rFonts w:ascii="Verdana" w:hAnsi="Verdana"/>
                <w:sz w:val="16"/>
                <w:szCs w:val="16"/>
                <w:lang w:val="lt-LT"/>
              </w:rPr>
              <w:t>teisę siūlyti spendimo šiuo klausimu projektą paprastai turi valdyba</w:t>
            </w:r>
            <w:r w:rsidRPr="008048D3">
              <w:rPr>
                <w:rFonts w:ascii="Verdana" w:hAnsi="Verdana"/>
                <w:sz w:val="16"/>
                <w:szCs w:val="16"/>
                <w:lang w:val="lt-LT"/>
              </w:rPr>
              <w:t xml:space="preserve">, </w:t>
            </w:r>
            <w:r w:rsidR="009E7BA7" w:rsidRPr="008048D3">
              <w:rPr>
                <w:rFonts w:ascii="Verdana" w:hAnsi="Verdana"/>
                <w:sz w:val="16"/>
                <w:szCs w:val="16"/>
                <w:lang w:val="lt-LT"/>
              </w:rPr>
              <w:t>stebėtojų taryba ir akcininkai</w:t>
            </w:r>
            <w:r w:rsidRPr="008048D3">
              <w:rPr>
                <w:rFonts w:ascii="Verdana" w:hAnsi="Verdana"/>
                <w:sz w:val="16"/>
                <w:szCs w:val="16"/>
                <w:lang w:val="lt-LT"/>
              </w:rPr>
              <w:t xml:space="preserve">, </w:t>
            </w:r>
            <w:r w:rsidR="009E7BA7" w:rsidRPr="008048D3">
              <w:rPr>
                <w:rFonts w:ascii="Verdana" w:hAnsi="Verdana"/>
                <w:sz w:val="16"/>
                <w:szCs w:val="16"/>
                <w:lang w:val="lt-LT"/>
              </w:rPr>
              <w:t xml:space="preserve">turintys ne mažiau kaip </w:t>
            </w:r>
            <w:r w:rsidRPr="008048D3">
              <w:rPr>
                <w:rFonts w:ascii="Verdana" w:hAnsi="Verdana"/>
                <w:sz w:val="16"/>
                <w:szCs w:val="16"/>
                <w:lang w:val="lt-LT"/>
              </w:rPr>
              <w:t xml:space="preserve">1/20 </w:t>
            </w:r>
            <w:r w:rsidR="009E7BA7" w:rsidRPr="008048D3">
              <w:rPr>
                <w:rFonts w:ascii="Verdana" w:hAnsi="Verdana"/>
                <w:sz w:val="16"/>
                <w:szCs w:val="16"/>
                <w:lang w:val="lt-LT"/>
              </w:rPr>
              <w:t>visų akcijų ir balsų visuotiniame susirinkime</w:t>
            </w:r>
            <w:r w:rsidRPr="008048D3">
              <w:rPr>
                <w:rFonts w:ascii="Verdana" w:hAnsi="Verdana"/>
                <w:sz w:val="16"/>
                <w:szCs w:val="16"/>
                <w:lang w:val="lt-LT"/>
              </w:rPr>
              <w:t xml:space="preserve">. </w:t>
            </w:r>
            <w:r w:rsidR="009E7BA7" w:rsidRPr="008048D3">
              <w:rPr>
                <w:rFonts w:ascii="Verdana" w:hAnsi="Verdana"/>
                <w:sz w:val="16"/>
                <w:szCs w:val="16"/>
                <w:lang w:val="lt-LT"/>
              </w:rPr>
              <w:t xml:space="preserve">Taip pat </w:t>
            </w:r>
            <w:r w:rsidR="009E7BA7" w:rsidRPr="008048D3">
              <w:rPr>
                <w:rFonts w:ascii="Verdana" w:hAnsi="Verdana"/>
                <w:sz w:val="16"/>
                <w:szCs w:val="16"/>
                <w:lang w:val="lt-LT"/>
              </w:rPr>
              <w:lastRenderedPageBreak/>
              <w:t>gali reikėti gauti bankų leidimą</w:t>
            </w:r>
            <w:r w:rsidRPr="008048D3">
              <w:rPr>
                <w:rFonts w:ascii="Verdana" w:hAnsi="Verdana"/>
                <w:sz w:val="16"/>
                <w:szCs w:val="16"/>
                <w:lang w:val="lt-LT"/>
              </w:rPr>
              <w:t xml:space="preserve">, </w:t>
            </w:r>
            <w:r w:rsidR="009E7BA7" w:rsidRPr="008048D3">
              <w:rPr>
                <w:rFonts w:ascii="Verdana" w:hAnsi="Verdana"/>
                <w:sz w:val="16"/>
                <w:szCs w:val="16"/>
                <w:lang w:val="lt-LT"/>
              </w:rPr>
              <w:t xml:space="preserve">atsižvelgiant į </w:t>
            </w:r>
            <w:r w:rsidR="009F6CEA" w:rsidRPr="008048D3">
              <w:rPr>
                <w:rFonts w:ascii="Verdana" w:hAnsi="Verdana"/>
                <w:sz w:val="16"/>
                <w:szCs w:val="16"/>
                <w:lang w:val="lt-LT"/>
              </w:rPr>
              <w:t xml:space="preserve">atitinkamu metu esantį </w:t>
            </w:r>
            <w:r w:rsidR="009E7BA7" w:rsidRPr="008048D3">
              <w:rPr>
                <w:rFonts w:ascii="Verdana" w:hAnsi="Verdana"/>
                <w:sz w:val="16"/>
                <w:szCs w:val="16"/>
                <w:lang w:val="lt-LT"/>
              </w:rPr>
              <w:t>finansinį svertą</w:t>
            </w:r>
            <w:r w:rsidRPr="008048D3">
              <w:rPr>
                <w:rFonts w:ascii="Verdana" w:hAnsi="Verdana"/>
                <w:sz w:val="16"/>
                <w:szCs w:val="16"/>
                <w:lang w:val="lt-LT"/>
              </w:rPr>
              <w:t>.</w:t>
            </w:r>
          </w:p>
          <w:p w14:paraId="71699549" w14:textId="77777777" w:rsidR="008D1872" w:rsidRPr="008048D3" w:rsidRDefault="008D1872" w:rsidP="008D1872">
            <w:pPr>
              <w:jc w:val="both"/>
              <w:rPr>
                <w:rFonts w:ascii="Verdana" w:hAnsi="Verdana"/>
                <w:sz w:val="16"/>
                <w:szCs w:val="16"/>
                <w:lang w:val="lt-LT"/>
              </w:rPr>
            </w:pPr>
          </w:p>
          <w:p w14:paraId="7177FD58" w14:textId="2F6E4BDC" w:rsidR="008F65F5" w:rsidRPr="008048D3" w:rsidRDefault="008D1872" w:rsidP="002A4A6C">
            <w:pPr>
              <w:jc w:val="both"/>
              <w:rPr>
                <w:rFonts w:ascii="Verdana" w:hAnsi="Verdana"/>
                <w:sz w:val="16"/>
                <w:szCs w:val="16"/>
                <w:lang w:val="lt-LT"/>
              </w:rPr>
            </w:pPr>
            <w:r w:rsidRPr="008048D3">
              <w:rPr>
                <w:rFonts w:ascii="Verdana" w:hAnsi="Verdana"/>
                <w:sz w:val="16"/>
                <w:szCs w:val="16"/>
                <w:lang w:val="lt-LT"/>
              </w:rPr>
              <w:t xml:space="preserve">Bendrovės dabartinis prioritetas yra naudoti pelną Bendrovės plėtrai, o ne dividendų išmokėjimui, ir pastaruosius trejus metus ji dividendų nemokėjo. Tačiau Bendrovė neatmeta galimybės mokėti dividendus ateityje, atsižvelgdama į savo finansinius rezultatus, pinigų srautus, </w:t>
            </w:r>
            <w:r w:rsidRPr="008048D3">
              <w:rPr>
                <w:rFonts w:ascii="Verdana" w:hAnsi="Verdana" w:cs="Arial"/>
                <w:sz w:val="16"/>
                <w:szCs w:val="16"/>
                <w:lang w:val="lt-LT"/>
              </w:rPr>
              <w:t xml:space="preserve">finansinę būklę, kapitalo </w:t>
            </w:r>
            <w:r w:rsidR="00A479B2" w:rsidRPr="008048D3">
              <w:rPr>
                <w:rFonts w:ascii="Verdana" w:hAnsi="Verdana" w:cs="Arial"/>
                <w:sz w:val="16"/>
                <w:szCs w:val="16"/>
                <w:lang w:val="lt-LT"/>
              </w:rPr>
              <w:t xml:space="preserve">poreikį </w:t>
            </w:r>
            <w:r w:rsidRPr="008048D3">
              <w:rPr>
                <w:rFonts w:ascii="Verdana" w:hAnsi="Verdana" w:cs="Arial"/>
                <w:sz w:val="16"/>
                <w:szCs w:val="16"/>
                <w:lang w:val="lt-LT"/>
              </w:rPr>
              <w:t>ir šiuo metu vykdomų investicinių projektų rezultatus</w:t>
            </w:r>
            <w:r w:rsidRPr="008048D3">
              <w:rPr>
                <w:rFonts w:ascii="Verdana" w:hAnsi="Verdana"/>
                <w:sz w:val="16"/>
                <w:szCs w:val="16"/>
                <w:lang w:val="lt-LT"/>
              </w:rPr>
              <w:t>.</w:t>
            </w:r>
            <w:r w:rsidR="000F19CA" w:rsidRPr="008048D3">
              <w:rPr>
                <w:rFonts w:ascii="Verdana" w:hAnsi="Verdana"/>
                <w:sz w:val="16"/>
                <w:szCs w:val="16"/>
                <w:lang w:val="lt-LT"/>
              </w:rPr>
              <w:t xml:space="preserve"> </w:t>
            </w:r>
            <w:r w:rsidR="00FE14DE" w:rsidRPr="008048D3">
              <w:rPr>
                <w:rFonts w:ascii="Verdana" w:hAnsi="Verdana"/>
                <w:sz w:val="16"/>
                <w:szCs w:val="16"/>
                <w:lang w:val="lt-LT"/>
              </w:rPr>
              <w:t>Tokie mokami dividendai gali sudaryti 25 – 50</w:t>
            </w:r>
            <w:r w:rsidR="00EA708B" w:rsidRPr="008048D3">
              <w:rPr>
                <w:rFonts w:ascii="Verdana" w:hAnsi="Verdana"/>
                <w:sz w:val="16"/>
                <w:szCs w:val="16"/>
                <w:lang w:val="lt-LT"/>
              </w:rPr>
              <w:t>%</w:t>
            </w:r>
            <w:r w:rsidR="00FE14DE" w:rsidRPr="008048D3">
              <w:rPr>
                <w:rFonts w:ascii="Verdana" w:hAnsi="Verdana"/>
                <w:sz w:val="16"/>
                <w:szCs w:val="16"/>
                <w:lang w:val="lt-LT"/>
              </w:rPr>
              <w:t xml:space="preserve"> konkrečiais finansiniais metais uždirbto grynojo pelno.</w:t>
            </w:r>
          </w:p>
        </w:tc>
      </w:tr>
      <w:tr w:rsidR="008F65F5" w:rsidRPr="008048D3" w14:paraId="19132EB7" w14:textId="77777777" w:rsidTr="00CA53A5">
        <w:tc>
          <w:tcPr>
            <w:tcW w:w="4999" w:type="pct"/>
            <w:gridSpan w:val="4"/>
            <w:tcBorders>
              <w:left w:val="nil"/>
              <w:right w:val="nil"/>
            </w:tcBorders>
          </w:tcPr>
          <w:p w14:paraId="425A30E9" w14:textId="23350236" w:rsidR="008F65F5" w:rsidRPr="008048D3" w:rsidRDefault="00545A79" w:rsidP="008F65F5">
            <w:pPr>
              <w:spacing w:before="120"/>
              <w:jc w:val="center"/>
              <w:rPr>
                <w:rFonts w:ascii="Verdana" w:hAnsi="Verdana" w:cs="Arial"/>
                <w:b/>
                <w:sz w:val="16"/>
                <w:szCs w:val="16"/>
                <w:lang w:val="lt-LT"/>
              </w:rPr>
            </w:pPr>
            <w:r w:rsidRPr="008048D3">
              <w:rPr>
                <w:rFonts w:ascii="Verdana" w:hAnsi="Verdana" w:cs="Arial"/>
                <w:b/>
                <w:sz w:val="16"/>
                <w:szCs w:val="16"/>
                <w:lang w:val="lt-LT"/>
              </w:rPr>
              <w:lastRenderedPageBreak/>
              <w:t xml:space="preserve">D skirsnis. Rizika </w:t>
            </w:r>
          </w:p>
        </w:tc>
      </w:tr>
      <w:tr w:rsidR="00D924BF" w:rsidRPr="008048D3" w14:paraId="423F4485" w14:textId="77777777" w:rsidTr="00CA53A5">
        <w:tc>
          <w:tcPr>
            <w:tcW w:w="303" w:type="pct"/>
            <w:gridSpan w:val="2"/>
            <w:tcBorders>
              <w:bottom w:val="single" w:sz="4" w:space="0" w:color="808080"/>
            </w:tcBorders>
          </w:tcPr>
          <w:p w14:paraId="0FF3F4AE" w14:textId="272FA0E3" w:rsidR="00D924BF" w:rsidRPr="008048D3" w:rsidRDefault="00D924BF" w:rsidP="00D924BF">
            <w:pPr>
              <w:rPr>
                <w:rFonts w:ascii="Verdana" w:hAnsi="Verdana" w:cs="Arial"/>
                <w:i/>
                <w:sz w:val="16"/>
                <w:szCs w:val="16"/>
                <w:lang w:val="lt-LT"/>
              </w:rPr>
            </w:pPr>
            <w:r w:rsidRPr="008048D3">
              <w:rPr>
                <w:rFonts w:ascii="Verdana" w:hAnsi="Verdana" w:cs="Arial"/>
                <w:i/>
                <w:sz w:val="16"/>
                <w:szCs w:val="16"/>
                <w:lang w:val="lt-LT"/>
              </w:rPr>
              <w:t xml:space="preserve">Punktas </w:t>
            </w:r>
          </w:p>
        </w:tc>
        <w:tc>
          <w:tcPr>
            <w:tcW w:w="606" w:type="pct"/>
            <w:tcBorders>
              <w:bottom w:val="single" w:sz="4" w:space="0" w:color="808080"/>
            </w:tcBorders>
          </w:tcPr>
          <w:p w14:paraId="1CFE74A8" w14:textId="3C2D984E" w:rsidR="00D924BF" w:rsidRPr="008048D3" w:rsidRDefault="00D924BF" w:rsidP="00D924BF">
            <w:pPr>
              <w:rPr>
                <w:rFonts w:ascii="Verdana" w:hAnsi="Verdana" w:cs="Arial"/>
                <w:i/>
                <w:sz w:val="16"/>
                <w:szCs w:val="16"/>
                <w:lang w:val="lt-LT"/>
              </w:rPr>
            </w:pPr>
            <w:r w:rsidRPr="008048D3">
              <w:rPr>
                <w:rFonts w:ascii="Verdana" w:hAnsi="Verdana" w:cs="Arial"/>
                <w:i/>
                <w:sz w:val="16"/>
                <w:szCs w:val="16"/>
                <w:lang w:val="lt-LT"/>
              </w:rPr>
              <w:t xml:space="preserve">Pavadinimas </w:t>
            </w:r>
          </w:p>
        </w:tc>
        <w:tc>
          <w:tcPr>
            <w:tcW w:w="4090" w:type="pct"/>
            <w:tcBorders>
              <w:bottom w:val="single" w:sz="4" w:space="0" w:color="808080"/>
            </w:tcBorders>
          </w:tcPr>
          <w:p w14:paraId="68CE0268" w14:textId="65C0A993" w:rsidR="00D924BF" w:rsidRPr="008048D3" w:rsidRDefault="00D924BF" w:rsidP="00D924BF">
            <w:pPr>
              <w:rPr>
                <w:rFonts w:ascii="Verdana" w:hAnsi="Verdana" w:cs="Arial"/>
                <w:i/>
                <w:sz w:val="16"/>
                <w:szCs w:val="16"/>
                <w:lang w:val="lt-LT"/>
              </w:rPr>
            </w:pPr>
            <w:r w:rsidRPr="008048D3">
              <w:rPr>
                <w:rFonts w:ascii="Verdana" w:hAnsi="Verdana" w:cs="Arial"/>
                <w:i/>
                <w:sz w:val="16"/>
                <w:szCs w:val="16"/>
                <w:lang w:val="lt-LT"/>
              </w:rPr>
              <w:t xml:space="preserve">Informacijos atskleidimas </w:t>
            </w:r>
          </w:p>
        </w:tc>
      </w:tr>
      <w:tr w:rsidR="008F65F5" w:rsidRPr="00CD3453" w14:paraId="569247FA" w14:textId="77777777" w:rsidTr="00CA53A5">
        <w:tc>
          <w:tcPr>
            <w:tcW w:w="303" w:type="pct"/>
            <w:gridSpan w:val="2"/>
            <w:tcBorders>
              <w:bottom w:val="single" w:sz="4" w:space="0" w:color="808080"/>
            </w:tcBorders>
          </w:tcPr>
          <w:p w14:paraId="10347C02"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t>D.1</w:t>
            </w:r>
          </w:p>
        </w:tc>
        <w:tc>
          <w:tcPr>
            <w:tcW w:w="606" w:type="pct"/>
            <w:tcBorders>
              <w:bottom w:val="single" w:sz="4" w:space="0" w:color="808080"/>
            </w:tcBorders>
          </w:tcPr>
          <w:p w14:paraId="486C2FCF" w14:textId="77777777" w:rsidR="00545A79" w:rsidRPr="008048D3" w:rsidRDefault="00545A79" w:rsidP="00545A79">
            <w:pPr>
              <w:spacing w:after="40"/>
              <w:rPr>
                <w:rFonts w:ascii="Verdana" w:hAnsi="Verdana" w:cs="Arial"/>
                <w:sz w:val="16"/>
                <w:szCs w:val="16"/>
                <w:lang w:val="lt-LT"/>
              </w:rPr>
            </w:pPr>
            <w:r w:rsidRPr="008048D3">
              <w:rPr>
                <w:rFonts w:ascii="Verdana" w:hAnsi="Verdana" w:cs="Arial"/>
                <w:sz w:val="16"/>
                <w:szCs w:val="16"/>
                <w:lang w:val="lt-LT"/>
              </w:rPr>
              <w:t>Pagrindinė rizika, būdinga Bendrovei ar jos sektoriui</w:t>
            </w:r>
          </w:p>
          <w:p w14:paraId="48861C76" w14:textId="7972FCE6" w:rsidR="008F65F5" w:rsidRPr="008048D3" w:rsidRDefault="008F65F5" w:rsidP="008F65F5">
            <w:pPr>
              <w:spacing w:after="40"/>
              <w:rPr>
                <w:rFonts w:ascii="Verdana" w:hAnsi="Verdana" w:cs="Arial"/>
                <w:sz w:val="16"/>
                <w:szCs w:val="16"/>
                <w:lang w:val="lt-LT"/>
              </w:rPr>
            </w:pPr>
          </w:p>
        </w:tc>
        <w:tc>
          <w:tcPr>
            <w:tcW w:w="4090" w:type="pct"/>
            <w:tcBorders>
              <w:bottom w:val="single" w:sz="4" w:space="0" w:color="808080"/>
            </w:tcBorders>
          </w:tcPr>
          <w:p w14:paraId="00056F7F" w14:textId="6C2E5541" w:rsidR="004B29BF" w:rsidRPr="008048D3" w:rsidRDefault="00545A79" w:rsidP="00D43A5E">
            <w:pPr>
              <w:ind w:right="-32"/>
              <w:jc w:val="both"/>
              <w:rPr>
                <w:rFonts w:ascii="Verdana" w:hAnsi="Verdana"/>
                <w:b/>
                <w:bCs/>
                <w:sz w:val="16"/>
                <w:szCs w:val="16"/>
                <w:lang w:val="lt-LT"/>
              </w:rPr>
            </w:pPr>
            <w:r w:rsidRPr="008048D3">
              <w:rPr>
                <w:rFonts w:ascii="Verdana" w:hAnsi="Verdana" w:cs="Arial"/>
                <w:b/>
                <w:sz w:val="16"/>
                <w:szCs w:val="16"/>
                <w:lang w:val="lt-LT"/>
              </w:rPr>
              <w:t>Grupei būdingi rizikos veiksniai</w:t>
            </w:r>
            <w:r w:rsidRPr="008048D3">
              <w:rPr>
                <w:rFonts w:ascii="Verdana" w:hAnsi="Verdana"/>
                <w:b/>
                <w:bCs/>
                <w:sz w:val="16"/>
                <w:szCs w:val="16"/>
                <w:lang w:val="lt-LT"/>
              </w:rPr>
              <w:t xml:space="preserve"> </w:t>
            </w:r>
          </w:p>
          <w:p w14:paraId="22C37AED" w14:textId="77777777" w:rsidR="004B29BF" w:rsidRPr="008048D3" w:rsidRDefault="004B29BF" w:rsidP="00D43A5E">
            <w:pPr>
              <w:ind w:right="-32"/>
              <w:jc w:val="both"/>
              <w:rPr>
                <w:rFonts w:ascii="Verdana" w:hAnsi="Verdana"/>
                <w:b/>
                <w:bCs/>
                <w:sz w:val="16"/>
                <w:szCs w:val="16"/>
                <w:lang w:val="lt-LT"/>
              </w:rPr>
            </w:pPr>
          </w:p>
          <w:p w14:paraId="37E07D4B" w14:textId="06E86458" w:rsidR="00D43A5E" w:rsidRPr="008048D3" w:rsidRDefault="00545A79" w:rsidP="00D43A5E">
            <w:pPr>
              <w:ind w:right="-32"/>
              <w:jc w:val="both"/>
              <w:rPr>
                <w:rFonts w:ascii="Verdana" w:hAnsi="Verdana"/>
                <w:sz w:val="16"/>
                <w:szCs w:val="16"/>
                <w:lang w:val="lt-LT"/>
              </w:rPr>
            </w:pPr>
            <w:r w:rsidRPr="008048D3">
              <w:rPr>
                <w:rFonts w:ascii="Verdana" w:hAnsi="Verdana"/>
                <w:b/>
                <w:bCs/>
                <w:sz w:val="16"/>
                <w:szCs w:val="16"/>
                <w:lang w:val="lt-LT"/>
              </w:rPr>
              <w:t>Emitento finansinės atskaitomybės tikslumo rizika.</w:t>
            </w:r>
            <w:r w:rsidRPr="008048D3">
              <w:rPr>
                <w:rFonts w:ascii="Verdana" w:hAnsi="Verdana"/>
                <w:bCs/>
                <w:sz w:val="16"/>
                <w:szCs w:val="16"/>
                <w:lang w:val="lt-LT"/>
              </w:rPr>
              <w:t xml:space="preserve"> </w:t>
            </w:r>
            <w:r w:rsidR="001C4E97" w:rsidRPr="008048D3">
              <w:rPr>
                <w:rFonts w:ascii="Verdana" w:hAnsi="Verdana"/>
                <w:bCs/>
                <w:sz w:val="16"/>
                <w:szCs w:val="16"/>
                <w:lang w:val="lt-LT"/>
              </w:rPr>
              <w:t>Atitinkamose n</w:t>
            </w:r>
            <w:r w:rsidRPr="008048D3">
              <w:rPr>
                <w:rFonts w:ascii="Verdana" w:hAnsi="Verdana"/>
                <w:bCs/>
                <w:sz w:val="16"/>
                <w:szCs w:val="16"/>
                <w:lang w:val="lt-LT"/>
              </w:rPr>
              <w:t>epriklausomo auditoriaus išvado</w:t>
            </w:r>
            <w:r w:rsidR="001C4E97" w:rsidRPr="008048D3">
              <w:rPr>
                <w:rFonts w:ascii="Verdana" w:hAnsi="Verdana"/>
                <w:bCs/>
                <w:sz w:val="16"/>
                <w:szCs w:val="16"/>
                <w:lang w:val="lt-LT"/>
              </w:rPr>
              <w:t>s</w:t>
            </w:r>
            <w:r w:rsidRPr="008048D3">
              <w:rPr>
                <w:rFonts w:ascii="Verdana" w:hAnsi="Verdana"/>
                <w:bCs/>
                <w:sz w:val="16"/>
                <w:szCs w:val="16"/>
                <w:lang w:val="lt-LT"/>
              </w:rPr>
              <w:t xml:space="preserve">e </w:t>
            </w:r>
            <w:r w:rsidR="001C4E97" w:rsidRPr="008048D3">
              <w:rPr>
                <w:rFonts w:ascii="Verdana" w:hAnsi="Verdana"/>
                <w:bCs/>
                <w:sz w:val="16"/>
                <w:szCs w:val="16"/>
                <w:lang w:val="lt-LT"/>
              </w:rPr>
              <w:t xml:space="preserve">dėl Konsoliduotųjų finansinių </w:t>
            </w:r>
            <w:r w:rsidRPr="008048D3">
              <w:rPr>
                <w:rFonts w:ascii="Verdana" w:hAnsi="Verdana"/>
                <w:bCs/>
                <w:sz w:val="16"/>
                <w:szCs w:val="16"/>
                <w:lang w:val="lt-LT"/>
              </w:rPr>
              <w:t>ataskait</w:t>
            </w:r>
            <w:r w:rsidR="001C4E97" w:rsidRPr="008048D3">
              <w:rPr>
                <w:rFonts w:ascii="Verdana" w:hAnsi="Verdana"/>
                <w:bCs/>
                <w:sz w:val="16"/>
                <w:szCs w:val="16"/>
                <w:lang w:val="lt-LT"/>
              </w:rPr>
              <w:t>ų</w:t>
            </w:r>
            <w:r w:rsidRPr="008048D3">
              <w:rPr>
                <w:rFonts w:ascii="Verdana" w:hAnsi="Verdana"/>
                <w:bCs/>
                <w:sz w:val="16"/>
                <w:szCs w:val="16"/>
                <w:lang w:val="lt-LT"/>
              </w:rPr>
              <w:t xml:space="preserve"> </w:t>
            </w:r>
            <w:r w:rsidRPr="008048D3">
              <w:rPr>
                <w:rFonts w:ascii="Verdana" w:hAnsi="Verdana"/>
                <w:sz w:val="16"/>
                <w:szCs w:val="16"/>
                <w:lang w:val="lt-LT"/>
              </w:rPr>
              <w:t xml:space="preserve">Emitento auditoriai įtraukė „dalyko pabrėžimo“ pastraipą. </w:t>
            </w:r>
            <w:r w:rsidR="001C4E97" w:rsidRPr="008048D3">
              <w:rPr>
                <w:rFonts w:ascii="Verdana" w:hAnsi="Verdana"/>
                <w:sz w:val="16"/>
                <w:szCs w:val="16"/>
                <w:lang w:val="lt-LT"/>
              </w:rPr>
              <w:t xml:space="preserve">Tačiau auditorių išvados </w:t>
            </w:r>
            <w:r w:rsidR="00703782" w:rsidRPr="008048D3">
              <w:rPr>
                <w:rFonts w:ascii="Verdana" w:hAnsi="Verdana"/>
                <w:sz w:val="16"/>
                <w:szCs w:val="16"/>
                <w:lang w:val="lt-LT"/>
              </w:rPr>
              <w:t xml:space="preserve">dėl šio dalyko nėra </w:t>
            </w:r>
            <w:r w:rsidR="00A479B2" w:rsidRPr="008048D3">
              <w:rPr>
                <w:rFonts w:ascii="Verdana" w:hAnsi="Verdana"/>
                <w:sz w:val="16"/>
                <w:szCs w:val="16"/>
                <w:lang w:val="lt-LT"/>
              </w:rPr>
              <w:t>sąlyginės</w:t>
            </w:r>
            <w:r w:rsidR="00D43A5E" w:rsidRPr="008048D3">
              <w:rPr>
                <w:rFonts w:ascii="Verdana" w:hAnsi="Verdana"/>
                <w:sz w:val="16"/>
                <w:szCs w:val="16"/>
                <w:lang w:val="lt-LT"/>
              </w:rPr>
              <w:t>.</w:t>
            </w:r>
          </w:p>
          <w:p w14:paraId="3A3378D1" w14:textId="77777777" w:rsidR="00D43A5E" w:rsidRPr="008048D3" w:rsidRDefault="00D43A5E" w:rsidP="00D43A5E">
            <w:pPr>
              <w:ind w:right="-32"/>
              <w:jc w:val="both"/>
              <w:rPr>
                <w:rFonts w:ascii="Verdana" w:hAnsi="Verdana"/>
                <w:sz w:val="16"/>
                <w:szCs w:val="16"/>
                <w:lang w:val="lt-LT"/>
              </w:rPr>
            </w:pPr>
          </w:p>
          <w:p w14:paraId="5E56EA18" w14:textId="080C6C40" w:rsidR="00485800" w:rsidRPr="008048D3" w:rsidRDefault="00960AC0" w:rsidP="00D43A5E">
            <w:pPr>
              <w:jc w:val="both"/>
              <w:rPr>
                <w:rFonts w:ascii="Verdana" w:hAnsi="Verdana" w:cs="Arial"/>
                <w:b/>
                <w:bCs/>
                <w:color w:val="000000"/>
                <w:sz w:val="16"/>
                <w:szCs w:val="16"/>
                <w:lang w:val="lt-LT"/>
              </w:rPr>
            </w:pPr>
            <w:r w:rsidRPr="008048D3">
              <w:rPr>
                <w:rFonts w:ascii="Verdana" w:hAnsi="Verdana" w:cs="Arial"/>
                <w:b/>
                <w:bCs/>
                <w:color w:val="000000"/>
                <w:sz w:val="16"/>
                <w:szCs w:val="16"/>
                <w:lang w:val="lt-LT"/>
              </w:rPr>
              <w:t xml:space="preserve">Nemaža dalis Grupės įmonių </w:t>
            </w:r>
            <w:r w:rsidR="00485800" w:rsidRPr="008048D3">
              <w:rPr>
                <w:rFonts w:ascii="Verdana" w:hAnsi="Verdana" w:cs="Arial"/>
                <w:b/>
                <w:bCs/>
                <w:color w:val="000000"/>
                <w:sz w:val="16"/>
                <w:szCs w:val="16"/>
                <w:lang w:val="lt-LT"/>
              </w:rPr>
              <w:t xml:space="preserve">(21 </w:t>
            </w:r>
            <w:r w:rsidRPr="008048D3">
              <w:rPr>
                <w:rFonts w:ascii="Verdana" w:hAnsi="Verdana" w:cs="Arial"/>
                <w:b/>
                <w:bCs/>
                <w:color w:val="000000"/>
                <w:sz w:val="16"/>
                <w:szCs w:val="16"/>
                <w:lang w:val="lt-LT"/>
              </w:rPr>
              <w:t xml:space="preserve">įmonė </w:t>
            </w:r>
            <w:r w:rsidR="00485800" w:rsidRPr="008048D3">
              <w:rPr>
                <w:rFonts w:ascii="Verdana" w:hAnsi="Verdana" w:cs="Arial"/>
                <w:b/>
                <w:bCs/>
                <w:color w:val="000000"/>
                <w:sz w:val="16"/>
                <w:szCs w:val="16"/>
                <w:lang w:val="lt-LT"/>
              </w:rPr>
              <w:t>(1</w:t>
            </w:r>
            <w:r w:rsidR="00BB79E1" w:rsidRPr="008048D3">
              <w:rPr>
                <w:rFonts w:ascii="Verdana" w:hAnsi="Verdana" w:cs="Arial"/>
                <w:b/>
                <w:bCs/>
                <w:color w:val="000000"/>
                <w:sz w:val="16"/>
                <w:szCs w:val="16"/>
                <w:lang w:val="lt-LT"/>
              </w:rPr>
              <w:t>6</w:t>
            </w:r>
            <w:r w:rsidRPr="008048D3">
              <w:rPr>
                <w:rFonts w:ascii="Verdana" w:hAnsi="Verdana" w:cs="Arial"/>
                <w:b/>
                <w:bCs/>
                <w:color w:val="000000"/>
                <w:sz w:val="16"/>
                <w:szCs w:val="16"/>
                <w:lang w:val="lt-LT"/>
              </w:rPr>
              <w:t>,</w:t>
            </w:r>
            <w:r w:rsidR="00BB79E1" w:rsidRPr="008048D3">
              <w:rPr>
                <w:rFonts w:ascii="Verdana" w:hAnsi="Verdana" w:cs="Arial"/>
                <w:b/>
                <w:bCs/>
                <w:color w:val="000000"/>
                <w:sz w:val="16"/>
                <w:szCs w:val="16"/>
                <w:lang w:val="lt-LT"/>
              </w:rPr>
              <w:t>3</w:t>
            </w:r>
            <w:r w:rsidR="00485800" w:rsidRPr="008048D3">
              <w:rPr>
                <w:rFonts w:ascii="Verdana" w:hAnsi="Verdana" w:cs="Arial"/>
                <w:b/>
                <w:bCs/>
                <w:color w:val="000000"/>
                <w:sz w:val="16"/>
                <w:szCs w:val="16"/>
                <w:lang w:val="lt-LT"/>
              </w:rPr>
              <w:t xml:space="preserve">% </w:t>
            </w:r>
            <w:r w:rsidRPr="008048D3">
              <w:rPr>
                <w:rFonts w:ascii="Verdana" w:hAnsi="Verdana" w:cs="Arial"/>
                <w:b/>
                <w:bCs/>
                <w:color w:val="000000"/>
                <w:sz w:val="16"/>
                <w:szCs w:val="16"/>
                <w:lang w:val="lt-LT"/>
              </w:rPr>
              <w:t>visų Dukterinių įmonių</w:t>
            </w:r>
            <w:r w:rsidR="00485800" w:rsidRPr="008048D3">
              <w:rPr>
                <w:rFonts w:ascii="Verdana" w:hAnsi="Verdana" w:cs="Arial"/>
                <w:b/>
                <w:bCs/>
                <w:color w:val="000000"/>
                <w:sz w:val="16"/>
                <w:szCs w:val="16"/>
                <w:lang w:val="lt-LT"/>
              </w:rPr>
              <w:t xml:space="preserve">) </w:t>
            </w:r>
            <w:r w:rsidRPr="008048D3">
              <w:rPr>
                <w:rFonts w:ascii="Verdana" w:hAnsi="Verdana" w:cs="Arial"/>
                <w:b/>
                <w:bCs/>
                <w:color w:val="000000"/>
                <w:sz w:val="16"/>
                <w:szCs w:val="16"/>
                <w:lang w:val="lt-LT"/>
              </w:rPr>
              <w:t xml:space="preserve">ir </w:t>
            </w:r>
            <w:r w:rsidR="00485800" w:rsidRPr="008048D3">
              <w:rPr>
                <w:rFonts w:ascii="Verdana" w:hAnsi="Verdana" w:cs="Arial"/>
                <w:b/>
                <w:bCs/>
                <w:color w:val="000000"/>
                <w:sz w:val="16"/>
                <w:szCs w:val="16"/>
                <w:lang w:val="lt-LT"/>
              </w:rPr>
              <w:t xml:space="preserve">44 </w:t>
            </w:r>
            <w:r w:rsidRPr="008048D3">
              <w:rPr>
                <w:rFonts w:ascii="Verdana" w:hAnsi="Verdana" w:cs="Arial"/>
                <w:b/>
                <w:bCs/>
                <w:color w:val="000000"/>
                <w:sz w:val="16"/>
                <w:szCs w:val="16"/>
                <w:lang w:val="lt-LT"/>
              </w:rPr>
              <w:t xml:space="preserve">Dukterinių įmonių vertybiniai popieriai </w:t>
            </w:r>
            <w:r w:rsidR="00485800" w:rsidRPr="008048D3">
              <w:rPr>
                <w:rFonts w:ascii="Verdana" w:hAnsi="Verdana" w:cs="Arial"/>
                <w:b/>
                <w:bCs/>
                <w:color w:val="000000"/>
                <w:sz w:val="16"/>
                <w:szCs w:val="16"/>
                <w:lang w:val="lt-LT"/>
              </w:rPr>
              <w:t>(32</w:t>
            </w:r>
            <w:r w:rsidRPr="008048D3">
              <w:rPr>
                <w:rFonts w:ascii="Verdana" w:hAnsi="Verdana" w:cs="Arial"/>
                <w:b/>
                <w:bCs/>
                <w:color w:val="000000"/>
                <w:sz w:val="16"/>
                <w:szCs w:val="16"/>
                <w:lang w:val="lt-LT"/>
              </w:rPr>
              <w:t>,</w:t>
            </w:r>
            <w:r w:rsidR="00485800" w:rsidRPr="008048D3">
              <w:rPr>
                <w:rFonts w:ascii="Verdana" w:hAnsi="Verdana" w:cs="Arial"/>
                <w:b/>
                <w:bCs/>
                <w:color w:val="000000"/>
                <w:sz w:val="16"/>
                <w:szCs w:val="16"/>
                <w:lang w:val="lt-LT"/>
              </w:rPr>
              <w:t xml:space="preserve">6% </w:t>
            </w:r>
            <w:r w:rsidRPr="008048D3">
              <w:rPr>
                <w:rFonts w:ascii="Verdana" w:hAnsi="Verdana" w:cs="Arial"/>
                <w:b/>
                <w:bCs/>
                <w:color w:val="000000"/>
                <w:sz w:val="16"/>
                <w:szCs w:val="16"/>
                <w:lang w:val="lt-LT"/>
              </w:rPr>
              <w:t>visų Dukterinių įmonių</w:t>
            </w:r>
            <w:r w:rsidR="00485800" w:rsidRPr="008048D3">
              <w:rPr>
                <w:rFonts w:ascii="Verdana" w:hAnsi="Verdana" w:cs="Arial"/>
                <w:b/>
                <w:bCs/>
                <w:color w:val="000000"/>
                <w:sz w:val="16"/>
                <w:szCs w:val="16"/>
                <w:lang w:val="lt-LT"/>
              </w:rPr>
              <w:t xml:space="preserve">)) </w:t>
            </w:r>
            <w:r w:rsidRPr="008048D3">
              <w:rPr>
                <w:rFonts w:ascii="Verdana" w:hAnsi="Verdana" w:cs="Arial"/>
                <w:b/>
                <w:bCs/>
                <w:color w:val="000000"/>
                <w:sz w:val="16"/>
                <w:szCs w:val="16"/>
                <w:lang w:val="lt-LT"/>
              </w:rPr>
              <w:t>yra įkeisti</w:t>
            </w:r>
            <w:r w:rsidR="00485800" w:rsidRPr="008048D3">
              <w:rPr>
                <w:rFonts w:ascii="Verdana" w:hAnsi="Verdana" w:cs="Arial"/>
                <w:b/>
                <w:bCs/>
                <w:color w:val="000000"/>
                <w:sz w:val="16"/>
                <w:szCs w:val="16"/>
                <w:lang w:val="lt-LT"/>
              </w:rPr>
              <w:t xml:space="preserve">. </w:t>
            </w:r>
          </w:p>
          <w:p w14:paraId="368A934A" w14:textId="4FA54FF6" w:rsidR="00D43A5E" w:rsidRPr="008048D3" w:rsidRDefault="00703782" w:rsidP="00D43A5E">
            <w:pPr>
              <w:jc w:val="both"/>
              <w:rPr>
                <w:rFonts w:ascii="Verdana" w:hAnsi="Verdana" w:cs="Arial"/>
                <w:b/>
                <w:bCs/>
                <w:color w:val="000000"/>
                <w:sz w:val="16"/>
                <w:szCs w:val="16"/>
                <w:lang w:val="lt-LT"/>
              </w:rPr>
            </w:pPr>
            <w:r w:rsidRPr="008048D3">
              <w:rPr>
                <w:rFonts w:ascii="Verdana" w:hAnsi="Verdana" w:cs="Arial"/>
                <w:sz w:val="16"/>
                <w:szCs w:val="16"/>
                <w:lang w:val="lt-LT"/>
              </w:rPr>
              <w:t>Akcininkas (atitinkama Grupės įmonė) negali disponuoti įkeistomis akcijomis ir (arba) įmonėmis be rašytinio atitinkamo(-ų) kreditoriaus(-</w:t>
            </w:r>
            <w:proofErr w:type="spellStart"/>
            <w:r w:rsidRPr="008048D3">
              <w:rPr>
                <w:rFonts w:ascii="Verdana" w:hAnsi="Verdana" w:cs="Arial"/>
                <w:sz w:val="16"/>
                <w:szCs w:val="16"/>
                <w:lang w:val="lt-LT"/>
              </w:rPr>
              <w:t>ių</w:t>
            </w:r>
            <w:proofErr w:type="spellEnd"/>
            <w:r w:rsidRPr="008048D3">
              <w:rPr>
                <w:rFonts w:ascii="Verdana" w:hAnsi="Verdana" w:cs="Arial"/>
                <w:sz w:val="16"/>
                <w:szCs w:val="16"/>
                <w:lang w:val="lt-LT"/>
              </w:rPr>
              <w:t xml:space="preserve">) sutikimo. Be to, jei įkeitimu užtikrinti įsipareigojimai </w:t>
            </w:r>
            <w:r w:rsidR="006E1B9D" w:rsidRPr="008048D3">
              <w:rPr>
                <w:rFonts w:ascii="Verdana" w:hAnsi="Verdana" w:cs="Arial"/>
                <w:sz w:val="16"/>
                <w:szCs w:val="16"/>
                <w:lang w:val="lt-LT"/>
              </w:rPr>
              <w:t>ne</w:t>
            </w:r>
            <w:r w:rsidRPr="008048D3">
              <w:rPr>
                <w:rFonts w:ascii="Verdana" w:hAnsi="Verdana" w:cs="Arial"/>
                <w:sz w:val="16"/>
                <w:szCs w:val="16"/>
                <w:lang w:val="lt-LT"/>
              </w:rPr>
              <w:t xml:space="preserve">bus įvykdyti, įkeistas akcijas </w:t>
            </w:r>
            <w:r w:rsidR="00245CE5" w:rsidRPr="008048D3">
              <w:rPr>
                <w:rFonts w:ascii="Verdana" w:hAnsi="Verdana" w:cs="Arial"/>
                <w:sz w:val="16"/>
                <w:szCs w:val="16"/>
                <w:lang w:val="lt-LT"/>
              </w:rPr>
              <w:t xml:space="preserve">ir (arba) įmones </w:t>
            </w:r>
            <w:r w:rsidRPr="008048D3">
              <w:rPr>
                <w:rFonts w:ascii="Verdana" w:hAnsi="Verdana" w:cs="Arial"/>
                <w:sz w:val="16"/>
                <w:szCs w:val="16"/>
                <w:lang w:val="lt-LT"/>
              </w:rPr>
              <w:t xml:space="preserve">galėtų perimti Grupės </w:t>
            </w:r>
            <w:r w:rsidR="006E1B9D" w:rsidRPr="008048D3">
              <w:rPr>
                <w:rFonts w:ascii="Verdana" w:hAnsi="Verdana" w:cs="Arial"/>
                <w:sz w:val="16"/>
                <w:szCs w:val="16"/>
                <w:lang w:val="lt-LT"/>
              </w:rPr>
              <w:t xml:space="preserve">įmonių </w:t>
            </w:r>
            <w:r w:rsidRPr="008048D3">
              <w:rPr>
                <w:rFonts w:ascii="Verdana" w:hAnsi="Verdana" w:cs="Arial"/>
                <w:sz w:val="16"/>
                <w:szCs w:val="16"/>
                <w:lang w:val="lt-LT"/>
              </w:rPr>
              <w:t>kreditori</w:t>
            </w:r>
            <w:r w:rsidR="00245CE5" w:rsidRPr="008048D3">
              <w:rPr>
                <w:rFonts w:ascii="Verdana" w:hAnsi="Verdana" w:cs="Arial"/>
                <w:sz w:val="16"/>
                <w:szCs w:val="16"/>
                <w:lang w:val="lt-LT"/>
              </w:rPr>
              <w:t>us(-</w:t>
            </w:r>
            <w:proofErr w:type="spellStart"/>
            <w:r w:rsidR="00245CE5" w:rsidRPr="008048D3">
              <w:rPr>
                <w:rFonts w:ascii="Verdana" w:hAnsi="Verdana" w:cs="Arial"/>
                <w:sz w:val="16"/>
                <w:szCs w:val="16"/>
                <w:lang w:val="lt-LT"/>
              </w:rPr>
              <w:t>i</w:t>
            </w:r>
            <w:r w:rsidRPr="008048D3">
              <w:rPr>
                <w:rFonts w:ascii="Verdana" w:hAnsi="Verdana" w:cs="Arial"/>
                <w:sz w:val="16"/>
                <w:szCs w:val="16"/>
                <w:lang w:val="lt-LT"/>
              </w:rPr>
              <w:t>ai</w:t>
            </w:r>
            <w:proofErr w:type="spellEnd"/>
            <w:r w:rsidR="00245CE5" w:rsidRPr="008048D3">
              <w:rPr>
                <w:rFonts w:ascii="Verdana" w:hAnsi="Verdana" w:cs="Arial"/>
                <w:sz w:val="16"/>
                <w:szCs w:val="16"/>
                <w:lang w:val="lt-LT"/>
              </w:rPr>
              <w:t>)</w:t>
            </w:r>
            <w:r w:rsidR="00D43A5E" w:rsidRPr="008048D3">
              <w:rPr>
                <w:rFonts w:ascii="Verdana" w:hAnsi="Verdana" w:cs="Arial"/>
                <w:sz w:val="16"/>
                <w:szCs w:val="16"/>
                <w:lang w:val="lt-LT"/>
              </w:rPr>
              <w:t xml:space="preserve">. </w:t>
            </w:r>
            <w:r w:rsidR="006E1B9D" w:rsidRPr="008048D3">
              <w:rPr>
                <w:rFonts w:ascii="Verdana" w:hAnsi="Verdana" w:cs="Arial"/>
                <w:sz w:val="16"/>
                <w:szCs w:val="16"/>
                <w:lang w:val="lt-LT"/>
              </w:rPr>
              <w:t xml:space="preserve"> </w:t>
            </w:r>
          </w:p>
          <w:p w14:paraId="29134051" w14:textId="517F86DE" w:rsidR="00BB79E1" w:rsidRPr="008048D3" w:rsidRDefault="00CA3FF4" w:rsidP="00D43A5E">
            <w:pPr>
              <w:spacing w:before="120"/>
              <w:ind w:right="-32"/>
              <w:jc w:val="both"/>
              <w:rPr>
                <w:rFonts w:ascii="Verdana" w:hAnsi="Verdana"/>
                <w:sz w:val="16"/>
                <w:szCs w:val="16"/>
                <w:lang w:val="lt-LT"/>
              </w:rPr>
            </w:pPr>
            <w:r w:rsidRPr="008048D3">
              <w:rPr>
                <w:rFonts w:ascii="Verdana" w:hAnsi="Verdana"/>
                <w:b/>
                <w:sz w:val="16"/>
                <w:szCs w:val="16"/>
                <w:lang w:val="lt-LT"/>
              </w:rPr>
              <w:t>Grupės skolinto kapitalo lygis gali reikšti ribotas Grupės finansavimo galimybes ir sukelti sunkumų atsiskaitant su kreditoriais</w:t>
            </w:r>
            <w:r w:rsidR="00D43A5E" w:rsidRPr="008048D3">
              <w:rPr>
                <w:rFonts w:ascii="Verdana" w:hAnsi="Verdana"/>
                <w:b/>
                <w:sz w:val="16"/>
                <w:szCs w:val="16"/>
                <w:lang w:val="lt-LT"/>
              </w:rPr>
              <w:t xml:space="preserve">. </w:t>
            </w:r>
            <w:r w:rsidR="00D43A5E" w:rsidRPr="008048D3">
              <w:rPr>
                <w:rFonts w:ascii="Verdana" w:hAnsi="Verdana"/>
                <w:sz w:val="16"/>
                <w:szCs w:val="16"/>
                <w:lang w:val="lt-LT"/>
              </w:rPr>
              <w:t>Grup</w:t>
            </w:r>
            <w:r w:rsidRPr="008048D3">
              <w:rPr>
                <w:rFonts w:ascii="Verdana" w:hAnsi="Verdana"/>
                <w:sz w:val="16"/>
                <w:szCs w:val="16"/>
                <w:lang w:val="lt-LT"/>
              </w:rPr>
              <w:t>ės</w:t>
            </w:r>
            <w:r w:rsidR="00D43A5E" w:rsidRPr="008048D3">
              <w:rPr>
                <w:rFonts w:ascii="Verdana" w:hAnsi="Verdana"/>
                <w:sz w:val="16"/>
                <w:szCs w:val="16"/>
                <w:lang w:val="lt-LT"/>
              </w:rPr>
              <w:t xml:space="preserve"> </w:t>
            </w:r>
            <w:r w:rsidRPr="008048D3">
              <w:rPr>
                <w:rFonts w:ascii="Verdana" w:hAnsi="Verdana"/>
                <w:sz w:val="16"/>
                <w:szCs w:val="16"/>
                <w:lang w:val="lt-LT"/>
              </w:rPr>
              <w:t>naudojimasis skolintu kapitalu yra pasiekęs reikšmingą lygį</w:t>
            </w:r>
            <w:r w:rsidR="00D43A5E" w:rsidRPr="008048D3">
              <w:rPr>
                <w:rFonts w:ascii="Verdana" w:hAnsi="Verdana"/>
                <w:sz w:val="16"/>
                <w:szCs w:val="16"/>
                <w:lang w:val="lt-LT"/>
              </w:rPr>
              <w:t xml:space="preserve">. </w:t>
            </w:r>
            <w:r w:rsidR="00454F84" w:rsidRPr="008048D3">
              <w:rPr>
                <w:rFonts w:ascii="Verdana" w:hAnsi="Verdana" w:cs="Arial"/>
                <w:sz w:val="16"/>
                <w:szCs w:val="16"/>
                <w:lang w:val="lt-LT"/>
              </w:rPr>
              <w:t>2017 m. gruodžio 31 d.</w:t>
            </w:r>
            <w:r w:rsidR="00D43A5E" w:rsidRPr="008048D3">
              <w:rPr>
                <w:rFonts w:ascii="Verdana" w:hAnsi="Verdana"/>
                <w:sz w:val="16"/>
                <w:szCs w:val="16"/>
                <w:lang w:val="lt-LT"/>
              </w:rPr>
              <w:t xml:space="preserve"> </w:t>
            </w:r>
            <w:r w:rsidRPr="008048D3">
              <w:rPr>
                <w:rFonts w:ascii="Verdana" w:hAnsi="Verdana"/>
                <w:sz w:val="16"/>
                <w:szCs w:val="16"/>
                <w:lang w:val="lt-LT"/>
              </w:rPr>
              <w:t xml:space="preserve">bendra </w:t>
            </w:r>
            <w:r w:rsidR="00D43A5E" w:rsidRPr="008048D3">
              <w:rPr>
                <w:rFonts w:ascii="Verdana" w:hAnsi="Verdana"/>
                <w:sz w:val="16"/>
                <w:szCs w:val="16"/>
                <w:lang w:val="lt-LT"/>
              </w:rPr>
              <w:t>Grup</w:t>
            </w:r>
            <w:r w:rsidRPr="008048D3">
              <w:rPr>
                <w:rFonts w:ascii="Verdana" w:hAnsi="Verdana"/>
                <w:sz w:val="16"/>
                <w:szCs w:val="16"/>
                <w:lang w:val="lt-LT"/>
              </w:rPr>
              <w:t xml:space="preserve">ės skola siekė </w:t>
            </w:r>
            <w:r w:rsidR="00D43A5E" w:rsidRPr="008048D3">
              <w:rPr>
                <w:rFonts w:ascii="Verdana" w:hAnsi="Verdana"/>
                <w:sz w:val="16"/>
                <w:szCs w:val="16"/>
                <w:lang w:val="lt-LT"/>
              </w:rPr>
              <w:t>43</w:t>
            </w:r>
            <w:r w:rsidRPr="008048D3">
              <w:rPr>
                <w:rFonts w:ascii="Verdana" w:hAnsi="Verdana"/>
                <w:sz w:val="16"/>
                <w:szCs w:val="16"/>
                <w:lang w:val="lt-LT"/>
              </w:rPr>
              <w:t> </w:t>
            </w:r>
            <w:r w:rsidR="00D43A5E" w:rsidRPr="008048D3">
              <w:rPr>
                <w:rFonts w:ascii="Verdana" w:hAnsi="Verdana"/>
                <w:sz w:val="16"/>
                <w:szCs w:val="16"/>
                <w:lang w:val="lt-LT"/>
              </w:rPr>
              <w:t xml:space="preserve">591 </w:t>
            </w:r>
            <w:r w:rsidR="00EB41A0" w:rsidRPr="008048D3">
              <w:rPr>
                <w:rFonts w:ascii="Verdana" w:hAnsi="Verdana"/>
                <w:sz w:val="16"/>
                <w:szCs w:val="16"/>
                <w:lang w:val="lt-LT"/>
              </w:rPr>
              <w:t>tūkst.</w:t>
            </w:r>
            <w:r w:rsidR="00D43A5E" w:rsidRPr="008048D3">
              <w:rPr>
                <w:rFonts w:ascii="Verdana" w:hAnsi="Verdana"/>
                <w:sz w:val="16"/>
                <w:szCs w:val="16"/>
                <w:lang w:val="lt-LT"/>
              </w:rPr>
              <w:t xml:space="preserve"> </w:t>
            </w:r>
            <w:r w:rsidRPr="008048D3">
              <w:rPr>
                <w:rFonts w:ascii="Verdana" w:hAnsi="Verdana"/>
                <w:sz w:val="16"/>
                <w:szCs w:val="16"/>
                <w:lang w:val="lt-LT"/>
              </w:rPr>
              <w:t xml:space="preserve">EUR </w:t>
            </w:r>
            <w:r w:rsidR="00D43A5E" w:rsidRPr="008048D3">
              <w:rPr>
                <w:rFonts w:ascii="Verdana" w:hAnsi="Verdana"/>
                <w:sz w:val="16"/>
                <w:szCs w:val="16"/>
                <w:lang w:val="lt-LT"/>
              </w:rPr>
              <w:t>(</w:t>
            </w:r>
            <w:r w:rsidR="00454F84" w:rsidRPr="008048D3">
              <w:rPr>
                <w:rFonts w:ascii="Verdana" w:hAnsi="Verdana"/>
                <w:sz w:val="16"/>
                <w:szCs w:val="16"/>
                <w:lang w:val="lt-LT"/>
              </w:rPr>
              <w:t>2016 m. gruodžio 31 d.</w:t>
            </w:r>
            <w:r w:rsidR="00D43A5E" w:rsidRPr="008048D3">
              <w:rPr>
                <w:rFonts w:ascii="Verdana" w:hAnsi="Verdana"/>
                <w:sz w:val="16"/>
                <w:szCs w:val="16"/>
                <w:lang w:val="lt-LT"/>
              </w:rPr>
              <w:t xml:space="preserve"> 31</w:t>
            </w:r>
            <w:r w:rsidRPr="008048D3">
              <w:rPr>
                <w:rFonts w:ascii="Verdana" w:hAnsi="Verdana"/>
                <w:sz w:val="16"/>
                <w:szCs w:val="16"/>
                <w:lang w:val="lt-LT"/>
              </w:rPr>
              <w:t> </w:t>
            </w:r>
            <w:r w:rsidR="00D43A5E" w:rsidRPr="008048D3">
              <w:rPr>
                <w:rFonts w:ascii="Verdana" w:hAnsi="Verdana"/>
                <w:sz w:val="16"/>
                <w:szCs w:val="16"/>
                <w:lang w:val="lt-LT"/>
              </w:rPr>
              <w:t xml:space="preserve">990 </w:t>
            </w:r>
            <w:r w:rsidR="00EB41A0" w:rsidRPr="008048D3">
              <w:rPr>
                <w:rFonts w:ascii="Verdana" w:hAnsi="Verdana"/>
                <w:sz w:val="16"/>
                <w:szCs w:val="16"/>
                <w:lang w:val="lt-LT"/>
              </w:rPr>
              <w:t>tūkst.</w:t>
            </w:r>
            <w:r w:rsidRPr="008048D3">
              <w:rPr>
                <w:rFonts w:ascii="Verdana" w:hAnsi="Verdana"/>
                <w:sz w:val="16"/>
                <w:szCs w:val="16"/>
                <w:lang w:val="lt-LT"/>
              </w:rPr>
              <w:t xml:space="preserve"> EUR</w:t>
            </w:r>
            <w:r w:rsidR="00D43A5E" w:rsidRPr="008048D3">
              <w:rPr>
                <w:rFonts w:ascii="Verdana" w:hAnsi="Verdana"/>
                <w:sz w:val="16"/>
                <w:szCs w:val="16"/>
                <w:lang w:val="lt-LT"/>
              </w:rPr>
              <w:t>, 2015</w:t>
            </w:r>
            <w:r w:rsidRPr="008048D3">
              <w:rPr>
                <w:rFonts w:ascii="Verdana" w:hAnsi="Verdana"/>
                <w:sz w:val="16"/>
                <w:szCs w:val="16"/>
                <w:lang w:val="lt-LT"/>
              </w:rPr>
              <w:t xml:space="preserve"> m. gruodžio 31 d.</w:t>
            </w:r>
            <w:r w:rsidR="00D43A5E" w:rsidRPr="008048D3">
              <w:rPr>
                <w:rFonts w:ascii="Verdana" w:hAnsi="Verdana"/>
                <w:sz w:val="16"/>
                <w:szCs w:val="16"/>
                <w:lang w:val="lt-LT"/>
              </w:rPr>
              <w:t xml:space="preserve"> 46</w:t>
            </w:r>
            <w:r w:rsidRPr="008048D3">
              <w:rPr>
                <w:rFonts w:ascii="Verdana" w:hAnsi="Verdana"/>
                <w:sz w:val="16"/>
                <w:szCs w:val="16"/>
                <w:lang w:val="lt-LT"/>
              </w:rPr>
              <w:t> </w:t>
            </w:r>
            <w:r w:rsidR="00D43A5E" w:rsidRPr="008048D3">
              <w:rPr>
                <w:rFonts w:ascii="Verdana" w:hAnsi="Verdana"/>
                <w:sz w:val="16"/>
                <w:szCs w:val="16"/>
                <w:lang w:val="lt-LT"/>
              </w:rPr>
              <w:t xml:space="preserve">678 </w:t>
            </w:r>
            <w:r w:rsidR="00EB41A0" w:rsidRPr="008048D3">
              <w:rPr>
                <w:rFonts w:ascii="Verdana" w:hAnsi="Verdana"/>
                <w:sz w:val="16"/>
                <w:szCs w:val="16"/>
                <w:lang w:val="lt-LT"/>
              </w:rPr>
              <w:t>tūkst.</w:t>
            </w:r>
            <w:r w:rsidRPr="008048D3">
              <w:rPr>
                <w:rFonts w:ascii="Verdana" w:hAnsi="Verdana"/>
                <w:sz w:val="16"/>
                <w:szCs w:val="16"/>
                <w:lang w:val="lt-LT"/>
              </w:rPr>
              <w:t xml:space="preserve"> EUR</w:t>
            </w:r>
            <w:r w:rsidR="00D43A5E" w:rsidRPr="008048D3">
              <w:rPr>
                <w:rFonts w:ascii="Verdana" w:hAnsi="Verdana"/>
                <w:sz w:val="16"/>
                <w:szCs w:val="16"/>
                <w:lang w:val="lt-LT"/>
              </w:rPr>
              <w:t xml:space="preserve">). </w:t>
            </w:r>
            <w:r w:rsidR="0057684D" w:rsidRPr="008048D3">
              <w:rPr>
                <w:rFonts w:ascii="Verdana" w:hAnsi="Verdana"/>
                <w:sz w:val="16"/>
                <w:szCs w:val="16"/>
                <w:lang w:val="lt-LT"/>
              </w:rPr>
              <w:t xml:space="preserve"> </w:t>
            </w:r>
            <w:r w:rsidR="00BB79E1" w:rsidRPr="008048D3">
              <w:rPr>
                <w:rFonts w:ascii="Verdana" w:hAnsi="Verdana"/>
                <w:sz w:val="16"/>
                <w:szCs w:val="16"/>
                <w:lang w:val="lt-LT"/>
              </w:rPr>
              <w:t>2018 m. kovo 31 d. pasibaigus I ketvirčiui, bendra Grupės skola siekė 54 622 tūkst. EUR (pagal neaudituotus duomenis).</w:t>
            </w:r>
          </w:p>
          <w:p w14:paraId="4E9B6835" w14:textId="1E61CD72" w:rsidR="00D43A5E" w:rsidRPr="008048D3" w:rsidRDefault="00723DFE" w:rsidP="00D43A5E">
            <w:pPr>
              <w:spacing w:before="120"/>
              <w:ind w:right="-32"/>
              <w:jc w:val="both"/>
              <w:rPr>
                <w:rFonts w:ascii="Verdana" w:hAnsi="Verdana"/>
                <w:sz w:val="16"/>
                <w:szCs w:val="16"/>
                <w:lang w:val="lt-LT"/>
              </w:rPr>
            </w:pPr>
            <w:r w:rsidRPr="008048D3">
              <w:rPr>
                <w:rFonts w:ascii="Verdana" w:hAnsi="Verdana"/>
                <w:sz w:val="16"/>
                <w:szCs w:val="16"/>
                <w:lang w:val="lt-LT"/>
              </w:rPr>
              <w:t>Bendrovės įsiskolinimo lygis taip pat gali turėti reikšmingų pasekmių</w:t>
            </w:r>
            <w:r w:rsidR="00D43A5E" w:rsidRPr="008048D3">
              <w:rPr>
                <w:rFonts w:ascii="Verdana" w:hAnsi="Verdana"/>
                <w:sz w:val="16"/>
                <w:szCs w:val="16"/>
                <w:lang w:val="lt-LT"/>
              </w:rPr>
              <w:t xml:space="preserve">, </w:t>
            </w:r>
            <w:r w:rsidR="00A53A40" w:rsidRPr="008048D3">
              <w:rPr>
                <w:rFonts w:ascii="Verdana" w:hAnsi="Verdana"/>
                <w:sz w:val="16"/>
                <w:szCs w:val="16"/>
                <w:lang w:val="lt-LT"/>
              </w:rPr>
              <w:t xml:space="preserve">įskaitant tokias, kurios savo ruožtu gali riboti </w:t>
            </w:r>
            <w:r w:rsidR="00D43A5E" w:rsidRPr="008048D3">
              <w:rPr>
                <w:rFonts w:ascii="Verdana" w:hAnsi="Verdana"/>
                <w:sz w:val="16"/>
                <w:szCs w:val="16"/>
                <w:lang w:val="lt-LT"/>
              </w:rPr>
              <w:t>Grup</w:t>
            </w:r>
            <w:r w:rsidR="00A53A40" w:rsidRPr="008048D3">
              <w:rPr>
                <w:rFonts w:ascii="Verdana" w:hAnsi="Verdana"/>
                <w:sz w:val="16"/>
                <w:szCs w:val="16"/>
                <w:lang w:val="lt-LT"/>
              </w:rPr>
              <w:t>ė</w:t>
            </w:r>
            <w:r w:rsidR="00D43A5E" w:rsidRPr="008048D3">
              <w:rPr>
                <w:rFonts w:ascii="Verdana" w:hAnsi="Verdana"/>
                <w:sz w:val="16"/>
                <w:szCs w:val="16"/>
                <w:lang w:val="lt-LT"/>
              </w:rPr>
              <w:t xml:space="preserve">s </w:t>
            </w:r>
            <w:r w:rsidR="00A53A40" w:rsidRPr="008048D3">
              <w:rPr>
                <w:rFonts w:ascii="Verdana" w:hAnsi="Verdana"/>
                <w:sz w:val="16"/>
                <w:szCs w:val="16"/>
                <w:lang w:val="lt-LT"/>
              </w:rPr>
              <w:t>plėtros galimybes ir dėl kurių gali mažėti konkurenciniai pranašumai</w:t>
            </w:r>
            <w:r w:rsidR="00D43A5E" w:rsidRPr="008048D3">
              <w:rPr>
                <w:rFonts w:ascii="Verdana" w:hAnsi="Verdana"/>
                <w:sz w:val="16"/>
                <w:szCs w:val="16"/>
                <w:lang w:val="lt-LT"/>
              </w:rPr>
              <w:t xml:space="preserve">. </w:t>
            </w:r>
          </w:p>
          <w:p w14:paraId="61493717" w14:textId="77777777" w:rsidR="00D43A5E" w:rsidRPr="008048D3" w:rsidRDefault="00D43A5E" w:rsidP="00D43A5E">
            <w:pPr>
              <w:ind w:right="-34"/>
              <w:jc w:val="both"/>
              <w:rPr>
                <w:rFonts w:ascii="Verdana" w:hAnsi="Verdana"/>
                <w:sz w:val="16"/>
                <w:szCs w:val="16"/>
                <w:lang w:val="lt-LT"/>
              </w:rPr>
            </w:pPr>
          </w:p>
          <w:p w14:paraId="5E5AA173" w14:textId="63497273" w:rsidR="00D43A5E" w:rsidRPr="008048D3" w:rsidRDefault="00D43A5E" w:rsidP="00A53A40">
            <w:pPr>
              <w:ind w:right="-32"/>
              <w:jc w:val="both"/>
              <w:rPr>
                <w:rFonts w:ascii="Verdana" w:hAnsi="Verdana"/>
                <w:sz w:val="16"/>
                <w:szCs w:val="16"/>
                <w:lang w:val="lt-LT"/>
              </w:rPr>
            </w:pPr>
            <w:r w:rsidRPr="008048D3">
              <w:rPr>
                <w:rFonts w:ascii="Verdana" w:hAnsi="Verdana"/>
                <w:b/>
                <w:bCs/>
                <w:sz w:val="16"/>
                <w:szCs w:val="16"/>
                <w:lang w:val="lt-LT"/>
              </w:rPr>
              <w:t>Grup</w:t>
            </w:r>
            <w:r w:rsidR="00A53A40" w:rsidRPr="008048D3">
              <w:rPr>
                <w:rFonts w:ascii="Verdana" w:hAnsi="Verdana"/>
                <w:b/>
                <w:bCs/>
                <w:sz w:val="16"/>
                <w:szCs w:val="16"/>
                <w:lang w:val="lt-LT"/>
              </w:rPr>
              <w:t>ė</w:t>
            </w:r>
            <w:r w:rsidRPr="008048D3">
              <w:rPr>
                <w:rFonts w:ascii="Verdana" w:hAnsi="Verdana"/>
                <w:b/>
                <w:bCs/>
                <w:sz w:val="16"/>
                <w:szCs w:val="16"/>
                <w:lang w:val="lt-LT"/>
              </w:rPr>
              <w:t xml:space="preserve">s </w:t>
            </w:r>
            <w:r w:rsidR="00A53A40" w:rsidRPr="008048D3">
              <w:rPr>
                <w:rFonts w:ascii="Verdana" w:hAnsi="Verdana"/>
                <w:b/>
                <w:bCs/>
                <w:sz w:val="16"/>
                <w:szCs w:val="16"/>
                <w:lang w:val="lt-LT"/>
              </w:rPr>
              <w:t>k</w:t>
            </w:r>
            <w:r w:rsidRPr="008048D3">
              <w:rPr>
                <w:rFonts w:ascii="Verdana" w:hAnsi="Verdana"/>
                <w:b/>
                <w:bCs/>
                <w:sz w:val="16"/>
                <w:szCs w:val="16"/>
                <w:lang w:val="lt-LT"/>
              </w:rPr>
              <w:t>redit</w:t>
            </w:r>
            <w:r w:rsidR="00A53A40" w:rsidRPr="008048D3">
              <w:rPr>
                <w:rFonts w:ascii="Verdana" w:hAnsi="Verdana"/>
                <w:b/>
                <w:bCs/>
                <w:sz w:val="16"/>
                <w:szCs w:val="16"/>
                <w:lang w:val="lt-LT"/>
              </w:rPr>
              <w:t>o rizika</w:t>
            </w:r>
            <w:r w:rsidRPr="008048D3">
              <w:rPr>
                <w:rFonts w:ascii="Verdana" w:hAnsi="Verdana"/>
                <w:b/>
                <w:bCs/>
                <w:sz w:val="16"/>
                <w:szCs w:val="16"/>
                <w:lang w:val="lt-LT"/>
              </w:rPr>
              <w:t>.</w:t>
            </w:r>
            <w:r w:rsidRPr="008048D3">
              <w:rPr>
                <w:rFonts w:ascii="Verdana" w:hAnsi="Verdana"/>
                <w:sz w:val="16"/>
                <w:szCs w:val="16"/>
                <w:lang w:val="lt-LT"/>
              </w:rPr>
              <w:t xml:space="preserve"> </w:t>
            </w:r>
            <w:r w:rsidR="00A53A40" w:rsidRPr="008048D3">
              <w:rPr>
                <w:rFonts w:ascii="Verdana" w:hAnsi="Verdana"/>
                <w:sz w:val="16"/>
                <w:szCs w:val="16"/>
                <w:lang w:val="lt-LT"/>
              </w:rPr>
              <w:t>Investuotojai prisiima riziką, kad dėl esamų neigiamų pokyčių produktų rinkose, Grupės finansinės padėties pablogėjimo, paskolų refinansavimo galimybių sumažėjimo ir kitų rizikos veiksnių Grupė gali nesugebėti atsiskaityti su savo kreditoriais ir tai turėtų neigiamos įtakos Grupės verslui ir</w:t>
            </w:r>
            <w:r w:rsidR="00635034" w:rsidRPr="008048D3">
              <w:rPr>
                <w:rFonts w:ascii="Verdana" w:hAnsi="Verdana"/>
                <w:sz w:val="16"/>
                <w:szCs w:val="16"/>
                <w:lang w:val="lt-LT"/>
              </w:rPr>
              <w:t>,</w:t>
            </w:r>
            <w:r w:rsidR="00A53A40" w:rsidRPr="008048D3">
              <w:rPr>
                <w:rFonts w:ascii="Verdana" w:hAnsi="Verdana"/>
                <w:sz w:val="16"/>
                <w:szCs w:val="16"/>
                <w:lang w:val="lt-LT"/>
              </w:rPr>
              <w:t xml:space="preserve"> atitinkamai</w:t>
            </w:r>
            <w:r w:rsidR="00635034" w:rsidRPr="008048D3">
              <w:rPr>
                <w:rFonts w:ascii="Verdana" w:hAnsi="Verdana"/>
                <w:sz w:val="16"/>
                <w:szCs w:val="16"/>
                <w:lang w:val="lt-LT"/>
              </w:rPr>
              <w:t>,</w:t>
            </w:r>
            <w:r w:rsidR="00A53A40" w:rsidRPr="008048D3">
              <w:rPr>
                <w:rFonts w:ascii="Verdana" w:hAnsi="Verdana"/>
                <w:sz w:val="16"/>
                <w:szCs w:val="16"/>
                <w:lang w:val="lt-LT"/>
              </w:rPr>
              <w:t xml:space="preserve"> Emitento akcijų vertei</w:t>
            </w:r>
            <w:r w:rsidRPr="008048D3">
              <w:rPr>
                <w:rFonts w:ascii="Verdana" w:hAnsi="Verdana"/>
                <w:sz w:val="16"/>
                <w:szCs w:val="16"/>
                <w:lang w:val="lt-LT"/>
              </w:rPr>
              <w:t xml:space="preserve">. </w:t>
            </w:r>
            <w:r w:rsidR="00A53A40" w:rsidRPr="008048D3">
              <w:rPr>
                <w:rFonts w:ascii="Verdana" w:hAnsi="Verdana"/>
                <w:sz w:val="16"/>
                <w:szCs w:val="16"/>
                <w:lang w:val="lt-LT"/>
              </w:rPr>
              <w:t>Su lėšomis bankuose susijusi k</w:t>
            </w:r>
            <w:r w:rsidRPr="008048D3">
              <w:rPr>
                <w:rFonts w:ascii="Verdana" w:hAnsi="Verdana"/>
                <w:sz w:val="16"/>
                <w:szCs w:val="16"/>
                <w:lang w:val="lt-LT"/>
              </w:rPr>
              <w:t>redit</w:t>
            </w:r>
            <w:r w:rsidR="00A53A40" w:rsidRPr="008048D3">
              <w:rPr>
                <w:rFonts w:ascii="Verdana" w:hAnsi="Verdana"/>
                <w:sz w:val="16"/>
                <w:szCs w:val="16"/>
                <w:lang w:val="lt-LT"/>
              </w:rPr>
              <w:t xml:space="preserve">o rizika yra ribota, kadangi </w:t>
            </w:r>
            <w:r w:rsidRPr="008048D3">
              <w:rPr>
                <w:rFonts w:ascii="Verdana" w:hAnsi="Verdana"/>
                <w:sz w:val="16"/>
                <w:szCs w:val="16"/>
                <w:lang w:val="lt-LT"/>
              </w:rPr>
              <w:t>Grup</w:t>
            </w:r>
            <w:r w:rsidR="00A53A40" w:rsidRPr="008048D3">
              <w:rPr>
                <w:rFonts w:ascii="Verdana" w:hAnsi="Verdana"/>
                <w:sz w:val="16"/>
                <w:szCs w:val="16"/>
                <w:lang w:val="lt-LT"/>
              </w:rPr>
              <w:t>ė</w:t>
            </w:r>
            <w:r w:rsidRPr="008048D3">
              <w:rPr>
                <w:rFonts w:ascii="Verdana" w:hAnsi="Verdana"/>
                <w:sz w:val="16"/>
                <w:szCs w:val="16"/>
                <w:lang w:val="lt-LT"/>
              </w:rPr>
              <w:t xml:space="preserve"> </w:t>
            </w:r>
            <w:r w:rsidR="00A53A40" w:rsidRPr="008048D3">
              <w:rPr>
                <w:rFonts w:ascii="Verdana" w:hAnsi="Verdana"/>
                <w:sz w:val="16"/>
                <w:szCs w:val="16"/>
                <w:lang w:val="lt-LT"/>
              </w:rPr>
              <w:t xml:space="preserve">dirba tik su stambiais Lietuvos </w:t>
            </w:r>
            <w:r w:rsidRPr="008048D3">
              <w:rPr>
                <w:rFonts w:ascii="Verdana" w:hAnsi="Verdana"/>
                <w:sz w:val="16"/>
                <w:szCs w:val="16"/>
                <w:lang w:val="lt-LT"/>
              </w:rPr>
              <w:t>bank</w:t>
            </w:r>
            <w:r w:rsidR="00A53A40" w:rsidRPr="008048D3">
              <w:rPr>
                <w:rFonts w:ascii="Verdana" w:hAnsi="Verdana"/>
                <w:sz w:val="16"/>
                <w:szCs w:val="16"/>
                <w:lang w:val="lt-LT"/>
              </w:rPr>
              <w:t>ai</w:t>
            </w:r>
            <w:r w:rsidRPr="008048D3">
              <w:rPr>
                <w:rFonts w:ascii="Verdana" w:hAnsi="Verdana"/>
                <w:sz w:val="16"/>
                <w:szCs w:val="16"/>
                <w:lang w:val="lt-LT"/>
              </w:rPr>
              <w:t xml:space="preserve">s. </w:t>
            </w:r>
          </w:p>
          <w:p w14:paraId="55F0AA1A" w14:textId="77777777" w:rsidR="00D43A5E" w:rsidRPr="008048D3" w:rsidRDefault="00D43A5E" w:rsidP="00D43A5E">
            <w:pPr>
              <w:ind w:right="-32"/>
              <w:jc w:val="both"/>
              <w:rPr>
                <w:rFonts w:ascii="Verdana" w:hAnsi="Verdana"/>
                <w:sz w:val="16"/>
                <w:szCs w:val="16"/>
                <w:lang w:val="lt-LT"/>
              </w:rPr>
            </w:pPr>
          </w:p>
          <w:p w14:paraId="708CE586" w14:textId="64D569D8" w:rsidR="00A53A40" w:rsidRPr="008048D3" w:rsidRDefault="00A53A40" w:rsidP="00D43A5E">
            <w:pPr>
              <w:widowControl w:val="0"/>
              <w:autoSpaceDE w:val="0"/>
              <w:autoSpaceDN w:val="0"/>
              <w:adjustRightInd w:val="0"/>
              <w:ind w:right="-32"/>
              <w:jc w:val="both"/>
              <w:rPr>
                <w:rFonts w:ascii="Verdana" w:hAnsi="Verdana" w:cs="Arial"/>
                <w:sz w:val="16"/>
                <w:szCs w:val="16"/>
                <w:lang w:val="lt-LT"/>
              </w:rPr>
            </w:pPr>
            <w:r w:rsidRPr="008048D3">
              <w:rPr>
                <w:rFonts w:ascii="Verdana" w:hAnsi="Verdana" w:cs="Arial"/>
                <w:b/>
                <w:sz w:val="16"/>
                <w:szCs w:val="16"/>
                <w:lang w:val="lt-LT"/>
              </w:rPr>
              <w:t>Priklausomybė nuo išorinio finansavimo.</w:t>
            </w:r>
            <w:r w:rsidRPr="008048D3">
              <w:rPr>
                <w:rFonts w:ascii="Verdana" w:hAnsi="Verdana" w:cs="Arial"/>
                <w:b/>
                <w:i/>
                <w:sz w:val="16"/>
                <w:szCs w:val="16"/>
                <w:lang w:val="lt-LT"/>
              </w:rPr>
              <w:t xml:space="preserve"> </w:t>
            </w:r>
            <w:r w:rsidRPr="008048D3">
              <w:rPr>
                <w:rFonts w:ascii="Verdana" w:hAnsi="Verdana" w:cs="Arial"/>
                <w:sz w:val="16"/>
                <w:szCs w:val="16"/>
                <w:lang w:val="lt-LT"/>
              </w:rPr>
              <w:t xml:space="preserve">Tolesnei Grupės veiklos plėtrai reikės daug </w:t>
            </w:r>
            <w:r w:rsidR="000005FD" w:rsidRPr="008048D3">
              <w:rPr>
                <w:rFonts w:ascii="Verdana" w:hAnsi="Verdana" w:cs="Arial"/>
                <w:sz w:val="16"/>
                <w:szCs w:val="16"/>
                <w:lang w:val="lt-LT"/>
              </w:rPr>
              <w:t xml:space="preserve">lėšų apyvartiniam kapitalui ir investicijoms </w:t>
            </w:r>
            <w:r w:rsidRPr="008048D3">
              <w:rPr>
                <w:rFonts w:ascii="Verdana" w:hAnsi="Verdana" w:cs="Arial"/>
                <w:sz w:val="16"/>
                <w:szCs w:val="16"/>
                <w:lang w:val="lt-LT"/>
              </w:rPr>
              <w:t xml:space="preserve">finansuoti. Todėl, jei nepavyktų užsitikrinti pakankamo išorinio finansavimo, tai galėtų apriboti Grupės augimo planus ir ją pastatytų į nepalankią konkurencinę padėtį lyginant su </w:t>
            </w:r>
            <w:r w:rsidR="000005FD" w:rsidRPr="008048D3">
              <w:rPr>
                <w:rFonts w:ascii="Verdana" w:hAnsi="Verdana" w:cs="Arial"/>
                <w:sz w:val="16"/>
                <w:szCs w:val="16"/>
                <w:lang w:val="lt-LT"/>
              </w:rPr>
              <w:t xml:space="preserve">daugiau </w:t>
            </w:r>
            <w:r w:rsidRPr="008048D3">
              <w:rPr>
                <w:rFonts w:ascii="Verdana" w:hAnsi="Verdana" w:cs="Arial"/>
                <w:sz w:val="16"/>
                <w:szCs w:val="16"/>
                <w:lang w:val="lt-LT"/>
              </w:rPr>
              <w:t>kapitalo turinčiais konkurentais.</w:t>
            </w:r>
          </w:p>
          <w:p w14:paraId="6A2F7CFE" w14:textId="77777777" w:rsidR="00D43A5E" w:rsidRPr="008048D3" w:rsidRDefault="00D43A5E" w:rsidP="00D43A5E">
            <w:pPr>
              <w:widowControl w:val="0"/>
              <w:autoSpaceDE w:val="0"/>
              <w:autoSpaceDN w:val="0"/>
              <w:adjustRightInd w:val="0"/>
              <w:ind w:right="-32"/>
              <w:jc w:val="both"/>
              <w:rPr>
                <w:rFonts w:ascii="Verdana" w:hAnsi="Verdana" w:cs="Arial"/>
                <w:b/>
                <w:i/>
                <w:sz w:val="16"/>
                <w:szCs w:val="16"/>
                <w:lang w:val="lt-LT"/>
              </w:rPr>
            </w:pPr>
          </w:p>
          <w:p w14:paraId="3ADAFC55" w14:textId="6A4A6DF1" w:rsidR="00D43A5E" w:rsidRPr="008048D3" w:rsidRDefault="00493E00" w:rsidP="00D43A5E">
            <w:pPr>
              <w:widowControl w:val="0"/>
              <w:autoSpaceDE w:val="0"/>
              <w:autoSpaceDN w:val="0"/>
              <w:adjustRightInd w:val="0"/>
              <w:ind w:right="-32"/>
              <w:jc w:val="both"/>
              <w:rPr>
                <w:rFonts w:ascii="Verdana" w:hAnsi="Verdana" w:cs="Arial"/>
                <w:sz w:val="16"/>
                <w:szCs w:val="16"/>
                <w:lang w:val="lt-LT"/>
              </w:rPr>
            </w:pPr>
            <w:r w:rsidRPr="008048D3">
              <w:rPr>
                <w:rFonts w:ascii="Verdana" w:hAnsi="Verdana" w:cs="Arial"/>
                <w:sz w:val="16"/>
                <w:szCs w:val="16"/>
                <w:lang w:val="lt-LT"/>
              </w:rPr>
              <w:t>Be to</w:t>
            </w:r>
            <w:r w:rsidR="00D43A5E" w:rsidRPr="008048D3">
              <w:rPr>
                <w:rFonts w:ascii="Verdana" w:hAnsi="Verdana" w:cs="Arial"/>
                <w:sz w:val="16"/>
                <w:szCs w:val="16"/>
                <w:lang w:val="lt-LT"/>
              </w:rPr>
              <w:t xml:space="preserve">, </w:t>
            </w:r>
            <w:r w:rsidR="003E6D98" w:rsidRPr="008048D3">
              <w:rPr>
                <w:rFonts w:ascii="Verdana" w:hAnsi="Verdana" w:cs="Arial"/>
                <w:sz w:val="16"/>
                <w:szCs w:val="16"/>
                <w:lang w:val="lt-LT"/>
              </w:rPr>
              <w:t xml:space="preserve">Grupės sudarytose kredito sutartyse yra įsipareigojimai, kurie numato tam tikrus apribojimus ir riboja Vadovybės galimybes elgtis savo nuožiūra, nes dėl jų reikia atitikti tam tikrus </w:t>
            </w:r>
            <w:r w:rsidR="00D43A5E" w:rsidRPr="008048D3">
              <w:rPr>
                <w:rFonts w:ascii="Verdana" w:hAnsi="Verdana" w:cs="Arial"/>
                <w:sz w:val="16"/>
                <w:szCs w:val="16"/>
                <w:lang w:val="lt-LT"/>
              </w:rPr>
              <w:t>finan</w:t>
            </w:r>
            <w:r w:rsidR="003E6D98" w:rsidRPr="008048D3">
              <w:rPr>
                <w:rFonts w:ascii="Verdana" w:hAnsi="Verdana" w:cs="Arial"/>
                <w:sz w:val="16"/>
                <w:szCs w:val="16"/>
                <w:lang w:val="lt-LT"/>
              </w:rPr>
              <w:t>sinius rodiklius, taip pat yra apribojimai teikti arba gauti paskolas</w:t>
            </w:r>
            <w:r w:rsidR="00D43A5E" w:rsidRPr="008048D3">
              <w:rPr>
                <w:rFonts w:ascii="Verdana" w:hAnsi="Verdana" w:cs="Arial"/>
                <w:sz w:val="16"/>
                <w:szCs w:val="16"/>
                <w:lang w:val="lt-LT"/>
              </w:rPr>
              <w:t xml:space="preserve">, </w:t>
            </w:r>
            <w:r w:rsidR="003E6D98" w:rsidRPr="008048D3">
              <w:rPr>
                <w:rFonts w:ascii="Verdana" w:hAnsi="Verdana" w:cs="Arial"/>
                <w:sz w:val="16"/>
                <w:szCs w:val="16"/>
                <w:lang w:val="lt-LT"/>
              </w:rPr>
              <w:t>steigti naujus subjektus ir pan.</w:t>
            </w:r>
            <w:r w:rsidR="00D43A5E" w:rsidRPr="008048D3">
              <w:rPr>
                <w:rFonts w:ascii="Verdana" w:hAnsi="Verdana" w:cs="Arial"/>
                <w:sz w:val="16"/>
                <w:szCs w:val="16"/>
                <w:lang w:val="lt-LT"/>
              </w:rPr>
              <w:t xml:space="preserve"> </w:t>
            </w:r>
            <w:r w:rsidR="003E6D98" w:rsidRPr="008048D3">
              <w:rPr>
                <w:rFonts w:ascii="Verdana" w:hAnsi="Verdana" w:cs="Arial"/>
                <w:sz w:val="16"/>
                <w:szCs w:val="16"/>
                <w:lang w:val="lt-LT"/>
              </w:rPr>
              <w:t>be finansuotojo pritarimo</w:t>
            </w:r>
            <w:r w:rsidR="00D43A5E" w:rsidRPr="008048D3">
              <w:rPr>
                <w:rFonts w:ascii="Verdana" w:hAnsi="Verdana" w:cs="Arial"/>
                <w:sz w:val="16"/>
                <w:szCs w:val="16"/>
                <w:lang w:val="lt-LT"/>
              </w:rPr>
              <w:t xml:space="preserve">. </w:t>
            </w:r>
          </w:p>
          <w:p w14:paraId="7E0F1D78" w14:textId="77777777" w:rsidR="00D43A5E" w:rsidRPr="008048D3" w:rsidRDefault="00D43A5E" w:rsidP="00D43A5E">
            <w:pPr>
              <w:ind w:right="-32"/>
              <w:jc w:val="both"/>
              <w:rPr>
                <w:rFonts w:ascii="Verdana" w:hAnsi="Verdana"/>
                <w:sz w:val="16"/>
                <w:szCs w:val="16"/>
                <w:lang w:val="lt-LT"/>
              </w:rPr>
            </w:pPr>
          </w:p>
          <w:p w14:paraId="24EA8792" w14:textId="52D431E6" w:rsidR="00D43A5E" w:rsidRPr="008048D3" w:rsidRDefault="00B81CA9" w:rsidP="00D43A5E">
            <w:pPr>
              <w:jc w:val="both"/>
              <w:rPr>
                <w:rFonts w:ascii="Verdana" w:hAnsi="Verdana" w:cs="Arial"/>
                <w:sz w:val="16"/>
                <w:szCs w:val="16"/>
                <w:lang w:val="lt-LT"/>
              </w:rPr>
            </w:pPr>
            <w:r w:rsidRPr="008048D3">
              <w:rPr>
                <w:rFonts w:ascii="Verdana" w:hAnsi="Verdana" w:cs="Arial"/>
                <w:b/>
                <w:sz w:val="16"/>
                <w:szCs w:val="16"/>
                <w:lang w:val="lt-LT"/>
              </w:rPr>
              <w:t xml:space="preserve">2018 m. Grupė turės grąžinti </w:t>
            </w:r>
            <w:r w:rsidR="00D43A5E" w:rsidRPr="008048D3">
              <w:rPr>
                <w:rFonts w:ascii="Verdana" w:hAnsi="Verdana" w:cs="Arial"/>
                <w:b/>
                <w:sz w:val="16"/>
                <w:szCs w:val="16"/>
                <w:lang w:val="lt-LT"/>
              </w:rPr>
              <w:t>7</w:t>
            </w:r>
            <w:r w:rsidRPr="008048D3">
              <w:rPr>
                <w:rFonts w:ascii="Verdana" w:hAnsi="Verdana" w:cs="Arial"/>
                <w:b/>
                <w:sz w:val="16"/>
                <w:szCs w:val="16"/>
                <w:lang w:val="lt-LT"/>
              </w:rPr>
              <w:t xml:space="preserve"> </w:t>
            </w:r>
            <w:r w:rsidR="008D3FCD" w:rsidRPr="008048D3">
              <w:rPr>
                <w:rFonts w:ascii="Verdana" w:hAnsi="Verdana" w:cs="Arial"/>
                <w:b/>
                <w:sz w:val="16"/>
                <w:szCs w:val="16"/>
                <w:lang w:val="lt-LT"/>
              </w:rPr>
              <w:t>02</w:t>
            </w:r>
            <w:r w:rsidR="00D43A5E" w:rsidRPr="008048D3">
              <w:rPr>
                <w:rFonts w:ascii="Verdana" w:hAnsi="Verdana" w:cs="Arial"/>
                <w:b/>
                <w:sz w:val="16"/>
                <w:szCs w:val="16"/>
                <w:lang w:val="lt-LT"/>
              </w:rPr>
              <w:t xml:space="preserve">2 </w:t>
            </w:r>
            <w:r w:rsidR="00EB41A0" w:rsidRPr="008048D3">
              <w:rPr>
                <w:rFonts w:ascii="Verdana" w:hAnsi="Verdana" w:cs="Arial"/>
                <w:b/>
                <w:sz w:val="16"/>
                <w:szCs w:val="16"/>
                <w:lang w:val="lt-LT"/>
              </w:rPr>
              <w:t>tūkst.</w:t>
            </w:r>
            <w:r w:rsidR="00D43A5E" w:rsidRPr="008048D3">
              <w:rPr>
                <w:rFonts w:ascii="Verdana" w:hAnsi="Verdana" w:cs="Arial"/>
                <w:b/>
                <w:sz w:val="16"/>
                <w:szCs w:val="16"/>
                <w:lang w:val="lt-LT"/>
              </w:rPr>
              <w:t xml:space="preserve"> </w:t>
            </w:r>
            <w:r w:rsidRPr="008048D3">
              <w:rPr>
                <w:rFonts w:ascii="Verdana" w:hAnsi="Verdana" w:cs="Arial"/>
                <w:b/>
                <w:sz w:val="16"/>
                <w:szCs w:val="16"/>
                <w:lang w:val="lt-LT"/>
              </w:rPr>
              <w:t>EUR finansinių skolų</w:t>
            </w:r>
            <w:r w:rsidR="00D43A5E" w:rsidRPr="008048D3">
              <w:rPr>
                <w:rFonts w:ascii="Verdana" w:hAnsi="Verdana" w:cs="Arial"/>
                <w:b/>
                <w:sz w:val="16"/>
                <w:szCs w:val="16"/>
                <w:lang w:val="lt-LT"/>
              </w:rPr>
              <w:t>.</w:t>
            </w:r>
            <w:r w:rsidR="00D43A5E" w:rsidRPr="008048D3">
              <w:rPr>
                <w:rFonts w:ascii="Verdana" w:hAnsi="Verdana"/>
                <w:sz w:val="16"/>
                <w:szCs w:val="16"/>
                <w:lang w:val="lt-LT"/>
              </w:rPr>
              <w:t xml:space="preserve"> </w:t>
            </w:r>
            <w:r w:rsidRPr="008048D3">
              <w:rPr>
                <w:rFonts w:ascii="Verdana" w:hAnsi="Verdana" w:cs="Arial"/>
                <w:sz w:val="16"/>
                <w:szCs w:val="16"/>
                <w:lang w:val="lt-LT"/>
              </w:rPr>
              <w:t xml:space="preserve">2018 m. Grupė turės grąžinti </w:t>
            </w:r>
            <w:r w:rsidR="00D43A5E" w:rsidRPr="008048D3">
              <w:rPr>
                <w:rFonts w:ascii="Verdana" w:hAnsi="Verdana" w:cs="Arial"/>
                <w:sz w:val="16"/>
                <w:szCs w:val="16"/>
                <w:lang w:val="lt-LT"/>
              </w:rPr>
              <w:t>a</w:t>
            </w:r>
            <w:r w:rsidRPr="008048D3">
              <w:rPr>
                <w:rFonts w:ascii="Verdana" w:hAnsi="Verdana" w:cs="Arial"/>
                <w:sz w:val="16"/>
                <w:szCs w:val="16"/>
                <w:lang w:val="lt-LT"/>
              </w:rPr>
              <w:t xml:space="preserve">pie </w:t>
            </w:r>
            <w:r w:rsidR="00D43A5E" w:rsidRPr="008048D3">
              <w:rPr>
                <w:rFonts w:ascii="Verdana" w:hAnsi="Verdana"/>
                <w:sz w:val="16"/>
                <w:szCs w:val="16"/>
                <w:lang w:val="lt-LT"/>
              </w:rPr>
              <w:t>4</w:t>
            </w:r>
            <w:r w:rsidRPr="008048D3">
              <w:rPr>
                <w:rFonts w:ascii="Verdana" w:hAnsi="Verdana"/>
                <w:sz w:val="16"/>
                <w:szCs w:val="16"/>
                <w:lang w:val="lt-LT"/>
              </w:rPr>
              <w:t xml:space="preserve"> </w:t>
            </w:r>
            <w:r w:rsidR="00D43A5E" w:rsidRPr="008048D3">
              <w:rPr>
                <w:rFonts w:ascii="Verdana" w:hAnsi="Verdana"/>
                <w:sz w:val="16"/>
                <w:szCs w:val="16"/>
                <w:lang w:val="lt-LT"/>
              </w:rPr>
              <w:t>56</w:t>
            </w:r>
            <w:r w:rsidR="00501BBB" w:rsidRPr="008048D3">
              <w:rPr>
                <w:rFonts w:ascii="Verdana" w:hAnsi="Verdana"/>
                <w:sz w:val="16"/>
                <w:szCs w:val="16"/>
                <w:lang w:val="lt-LT"/>
              </w:rPr>
              <w:t>4</w:t>
            </w:r>
            <w:r w:rsidR="00D43A5E" w:rsidRPr="008048D3">
              <w:rPr>
                <w:rFonts w:ascii="Verdana" w:hAnsi="Verdana" w:cs="Arial"/>
                <w:sz w:val="16"/>
                <w:szCs w:val="16"/>
                <w:lang w:val="lt-LT"/>
              </w:rPr>
              <w:t xml:space="preserve"> </w:t>
            </w:r>
            <w:r w:rsidR="00EB41A0" w:rsidRPr="008048D3">
              <w:rPr>
                <w:rFonts w:ascii="Verdana" w:hAnsi="Verdana" w:cs="Arial"/>
                <w:sz w:val="16"/>
                <w:szCs w:val="16"/>
                <w:lang w:val="lt-LT"/>
              </w:rPr>
              <w:t>tūkst.</w:t>
            </w:r>
            <w:r w:rsidR="00D43A5E" w:rsidRPr="008048D3">
              <w:rPr>
                <w:rFonts w:ascii="Verdana" w:hAnsi="Verdana" w:cs="Arial"/>
                <w:sz w:val="16"/>
                <w:szCs w:val="16"/>
                <w:lang w:val="lt-LT"/>
              </w:rPr>
              <w:t xml:space="preserve"> </w:t>
            </w:r>
            <w:r w:rsidRPr="008048D3">
              <w:rPr>
                <w:rFonts w:ascii="Verdana" w:hAnsi="Verdana"/>
                <w:sz w:val="16"/>
                <w:szCs w:val="16"/>
                <w:lang w:val="lt-LT"/>
              </w:rPr>
              <w:t>EUR Grupės iš bankų paimtų kreditų ir paskolų (neįskaitant palūkanų)</w:t>
            </w:r>
            <w:r w:rsidRPr="008048D3">
              <w:rPr>
                <w:rFonts w:ascii="Verdana" w:hAnsi="Verdana" w:cs="Arial"/>
                <w:sz w:val="16"/>
                <w:szCs w:val="16"/>
                <w:lang w:val="lt-LT"/>
              </w:rPr>
              <w:t xml:space="preserve">, kaip atspindėta </w:t>
            </w:r>
            <w:r w:rsidRPr="008048D3">
              <w:rPr>
                <w:rFonts w:ascii="Verdana" w:hAnsi="Verdana"/>
                <w:sz w:val="16"/>
                <w:szCs w:val="16"/>
                <w:lang w:val="lt-LT"/>
              </w:rPr>
              <w:t>201</w:t>
            </w:r>
            <w:r w:rsidR="00501BBB" w:rsidRPr="008048D3">
              <w:rPr>
                <w:rFonts w:ascii="Verdana" w:hAnsi="Verdana"/>
                <w:sz w:val="16"/>
                <w:szCs w:val="16"/>
                <w:lang w:val="lt-LT"/>
              </w:rPr>
              <w:t>8</w:t>
            </w:r>
            <w:r w:rsidRPr="008048D3">
              <w:rPr>
                <w:rFonts w:ascii="Verdana" w:hAnsi="Verdana"/>
                <w:sz w:val="16"/>
                <w:szCs w:val="16"/>
                <w:lang w:val="lt-LT"/>
              </w:rPr>
              <w:t xml:space="preserve"> m. </w:t>
            </w:r>
            <w:r w:rsidR="00501BBB" w:rsidRPr="008048D3">
              <w:rPr>
                <w:rFonts w:ascii="Verdana" w:hAnsi="Verdana"/>
                <w:sz w:val="16"/>
                <w:szCs w:val="16"/>
                <w:lang w:val="lt-LT"/>
              </w:rPr>
              <w:t xml:space="preserve">kovo </w:t>
            </w:r>
            <w:r w:rsidRPr="008048D3">
              <w:rPr>
                <w:rFonts w:ascii="Verdana" w:hAnsi="Verdana"/>
                <w:sz w:val="16"/>
                <w:szCs w:val="16"/>
                <w:lang w:val="lt-LT"/>
              </w:rPr>
              <w:t>31 d. ataskaitose</w:t>
            </w:r>
            <w:r w:rsidR="00D43A5E" w:rsidRPr="008048D3">
              <w:rPr>
                <w:rFonts w:ascii="Verdana" w:hAnsi="Verdana" w:cs="Arial"/>
                <w:sz w:val="16"/>
                <w:szCs w:val="16"/>
                <w:lang w:val="lt-LT"/>
              </w:rPr>
              <w:t xml:space="preserve">. </w:t>
            </w:r>
            <w:r w:rsidRPr="008048D3">
              <w:rPr>
                <w:rFonts w:ascii="Verdana" w:hAnsi="Verdana" w:cs="Arial"/>
                <w:sz w:val="16"/>
                <w:szCs w:val="16"/>
                <w:lang w:val="lt-LT"/>
              </w:rPr>
              <w:t>Be to</w:t>
            </w:r>
            <w:r w:rsidR="00D43A5E" w:rsidRPr="008048D3">
              <w:rPr>
                <w:rFonts w:ascii="Verdana" w:hAnsi="Verdana" w:cs="Arial"/>
                <w:sz w:val="16"/>
                <w:szCs w:val="16"/>
                <w:lang w:val="lt-LT"/>
              </w:rPr>
              <w:t xml:space="preserve">, </w:t>
            </w:r>
            <w:r w:rsidRPr="008048D3">
              <w:rPr>
                <w:rFonts w:ascii="Verdana" w:hAnsi="Verdana" w:cs="Arial"/>
                <w:sz w:val="16"/>
                <w:szCs w:val="16"/>
                <w:lang w:val="lt-LT"/>
              </w:rPr>
              <w:t xml:space="preserve">2018 m. reikės grąžinti </w:t>
            </w:r>
            <w:r w:rsidR="00D43A5E" w:rsidRPr="008048D3">
              <w:rPr>
                <w:rFonts w:ascii="Verdana" w:hAnsi="Verdana" w:cs="Arial"/>
                <w:sz w:val="16"/>
                <w:szCs w:val="16"/>
                <w:lang w:val="lt-LT"/>
              </w:rPr>
              <w:t>2</w:t>
            </w:r>
            <w:r w:rsidRPr="008048D3">
              <w:rPr>
                <w:rFonts w:ascii="Verdana" w:hAnsi="Verdana" w:cs="Arial"/>
                <w:sz w:val="16"/>
                <w:szCs w:val="16"/>
                <w:lang w:val="lt-LT"/>
              </w:rPr>
              <w:t> </w:t>
            </w:r>
            <w:r w:rsidR="00501BBB" w:rsidRPr="008048D3">
              <w:rPr>
                <w:rFonts w:ascii="Verdana" w:hAnsi="Verdana" w:cs="Arial"/>
                <w:sz w:val="16"/>
                <w:szCs w:val="16"/>
                <w:lang w:val="lt-LT"/>
              </w:rPr>
              <w:t>458</w:t>
            </w:r>
            <w:r w:rsidR="00D43A5E" w:rsidRPr="008048D3">
              <w:rPr>
                <w:rFonts w:ascii="Verdana" w:hAnsi="Verdana" w:cs="Arial"/>
                <w:sz w:val="16"/>
                <w:szCs w:val="16"/>
                <w:lang w:val="lt-LT"/>
              </w:rPr>
              <w:t xml:space="preserve"> </w:t>
            </w:r>
            <w:r w:rsidR="00EB41A0" w:rsidRPr="008048D3">
              <w:rPr>
                <w:rFonts w:ascii="Verdana" w:hAnsi="Verdana" w:cs="Arial"/>
                <w:sz w:val="16"/>
                <w:szCs w:val="16"/>
                <w:lang w:val="lt-LT"/>
              </w:rPr>
              <w:t>tūkst.</w:t>
            </w:r>
            <w:r w:rsidR="00D43A5E" w:rsidRPr="008048D3">
              <w:rPr>
                <w:rFonts w:ascii="Verdana" w:hAnsi="Verdana" w:cs="Arial"/>
                <w:sz w:val="16"/>
                <w:szCs w:val="16"/>
                <w:lang w:val="lt-LT"/>
              </w:rPr>
              <w:t xml:space="preserve"> </w:t>
            </w:r>
            <w:r w:rsidRPr="008048D3">
              <w:rPr>
                <w:rFonts w:ascii="Verdana" w:hAnsi="Verdana" w:cs="Arial"/>
                <w:sz w:val="16"/>
                <w:szCs w:val="16"/>
                <w:lang w:val="lt-LT"/>
              </w:rPr>
              <w:t>EUR pagrindinių lizingo sumų</w:t>
            </w:r>
            <w:r w:rsidR="00D43A5E" w:rsidRPr="008048D3">
              <w:rPr>
                <w:rFonts w:ascii="Verdana" w:hAnsi="Verdana" w:cs="Arial"/>
                <w:sz w:val="16"/>
                <w:szCs w:val="16"/>
                <w:lang w:val="lt-LT"/>
              </w:rPr>
              <w:t xml:space="preserve">. </w:t>
            </w:r>
            <w:r w:rsidR="00501BBB" w:rsidRPr="008048D3">
              <w:rPr>
                <w:rFonts w:ascii="Verdana" w:hAnsi="Verdana" w:cs="Arial"/>
                <w:sz w:val="16"/>
                <w:szCs w:val="16"/>
                <w:lang w:val="lt-LT"/>
              </w:rPr>
              <w:t>Tikėtina</w:t>
            </w:r>
            <w:r w:rsidRPr="008048D3">
              <w:rPr>
                <w:rFonts w:ascii="Verdana" w:hAnsi="Verdana" w:cs="Arial"/>
                <w:sz w:val="16"/>
                <w:szCs w:val="16"/>
                <w:lang w:val="lt-LT"/>
              </w:rPr>
              <w:t xml:space="preserve">, kad </w:t>
            </w:r>
            <w:r w:rsidR="00D43A5E" w:rsidRPr="008048D3">
              <w:rPr>
                <w:rFonts w:ascii="Verdana" w:hAnsi="Verdana" w:cs="Arial"/>
                <w:sz w:val="16"/>
                <w:szCs w:val="16"/>
                <w:lang w:val="lt-LT"/>
              </w:rPr>
              <w:t>Grup</w:t>
            </w:r>
            <w:r w:rsidRPr="008048D3">
              <w:rPr>
                <w:rFonts w:ascii="Verdana" w:hAnsi="Verdana" w:cs="Arial"/>
                <w:sz w:val="16"/>
                <w:szCs w:val="16"/>
                <w:lang w:val="lt-LT"/>
              </w:rPr>
              <w:t>ė</w:t>
            </w:r>
            <w:r w:rsidR="00D43A5E" w:rsidRPr="008048D3">
              <w:rPr>
                <w:rFonts w:ascii="Verdana" w:hAnsi="Verdana" w:cs="Arial"/>
                <w:sz w:val="16"/>
                <w:szCs w:val="16"/>
                <w:lang w:val="lt-LT"/>
              </w:rPr>
              <w:t xml:space="preserve"> </w:t>
            </w:r>
            <w:r w:rsidRPr="008048D3">
              <w:rPr>
                <w:rFonts w:ascii="Verdana" w:hAnsi="Verdana" w:cs="Arial"/>
                <w:sz w:val="16"/>
                <w:szCs w:val="16"/>
                <w:lang w:val="lt-LT"/>
              </w:rPr>
              <w:t>ieškos papildomo išorinio finansavimo šiems mokėjimams padengti</w:t>
            </w:r>
            <w:r w:rsidR="00D43A5E" w:rsidRPr="008048D3">
              <w:rPr>
                <w:rFonts w:ascii="Verdana" w:hAnsi="Verdana" w:cs="Arial"/>
                <w:sz w:val="16"/>
                <w:szCs w:val="16"/>
                <w:lang w:val="lt-LT"/>
              </w:rPr>
              <w:t xml:space="preserve">, </w:t>
            </w:r>
            <w:r w:rsidRPr="008048D3">
              <w:rPr>
                <w:rFonts w:ascii="Verdana" w:hAnsi="Verdana" w:cs="Arial"/>
                <w:sz w:val="16"/>
                <w:szCs w:val="16"/>
                <w:lang w:val="lt-LT"/>
              </w:rPr>
              <w:t>įskaitant skolos refinansavimo galimybes</w:t>
            </w:r>
            <w:r w:rsidR="00D43A5E" w:rsidRPr="008048D3">
              <w:rPr>
                <w:rFonts w:ascii="Verdana" w:hAnsi="Verdana" w:cs="Arial"/>
                <w:sz w:val="16"/>
                <w:szCs w:val="16"/>
                <w:lang w:val="lt-LT"/>
              </w:rPr>
              <w:t xml:space="preserve">. </w:t>
            </w:r>
            <w:r w:rsidR="00501BBB" w:rsidRPr="008048D3">
              <w:rPr>
                <w:rFonts w:ascii="Verdana" w:hAnsi="Verdana" w:cs="Arial"/>
                <w:sz w:val="16"/>
                <w:szCs w:val="16"/>
                <w:lang w:val="lt-LT"/>
              </w:rPr>
              <w:t xml:space="preserve">Jei šios finansinės skolos nebus grąžintos arba </w:t>
            </w:r>
            <w:proofErr w:type="spellStart"/>
            <w:r w:rsidR="00501BBB" w:rsidRPr="008048D3">
              <w:rPr>
                <w:rFonts w:ascii="Verdana" w:hAnsi="Verdana" w:cs="Arial"/>
                <w:sz w:val="16"/>
                <w:szCs w:val="16"/>
                <w:lang w:val="lt-LT"/>
              </w:rPr>
              <w:t>refinansuotos</w:t>
            </w:r>
            <w:proofErr w:type="spellEnd"/>
            <w:r w:rsidR="00501BBB" w:rsidRPr="008048D3">
              <w:rPr>
                <w:rFonts w:ascii="Verdana" w:hAnsi="Verdana" w:cs="Arial"/>
                <w:sz w:val="16"/>
                <w:szCs w:val="16"/>
                <w:lang w:val="lt-LT"/>
              </w:rPr>
              <w:t>, tai gali turėti esminės neigiamos įtakos Grupės veiklai</w:t>
            </w:r>
            <w:r w:rsidR="00D43A5E" w:rsidRPr="008048D3">
              <w:rPr>
                <w:rFonts w:ascii="Verdana" w:hAnsi="Verdana" w:cs="Arial"/>
                <w:sz w:val="16"/>
                <w:szCs w:val="16"/>
                <w:lang w:val="lt-LT"/>
              </w:rPr>
              <w:t>.</w:t>
            </w:r>
          </w:p>
          <w:p w14:paraId="545FB2FF" w14:textId="77777777" w:rsidR="00D43A5E" w:rsidRPr="008048D3" w:rsidRDefault="00D43A5E" w:rsidP="00D43A5E">
            <w:pPr>
              <w:jc w:val="both"/>
              <w:rPr>
                <w:rFonts w:ascii="Verdana" w:hAnsi="Verdana" w:cs="Arial"/>
                <w:sz w:val="16"/>
                <w:szCs w:val="16"/>
                <w:lang w:val="lt-LT"/>
              </w:rPr>
            </w:pPr>
          </w:p>
          <w:p w14:paraId="7662BAFF" w14:textId="6C8D459F" w:rsidR="00D43A5E" w:rsidRPr="008048D3" w:rsidRDefault="00D43A5E" w:rsidP="00D43A5E">
            <w:pPr>
              <w:jc w:val="both"/>
              <w:rPr>
                <w:rFonts w:ascii="Verdana" w:hAnsi="Verdana" w:cs="Arial"/>
                <w:sz w:val="16"/>
                <w:szCs w:val="16"/>
                <w:lang w:val="lt-LT"/>
              </w:rPr>
            </w:pPr>
            <w:r w:rsidRPr="008048D3">
              <w:rPr>
                <w:rFonts w:ascii="Verdana" w:hAnsi="Verdana" w:cs="Arial"/>
                <w:b/>
                <w:sz w:val="16"/>
                <w:szCs w:val="16"/>
                <w:lang w:val="lt-LT"/>
              </w:rPr>
              <w:t>Grup</w:t>
            </w:r>
            <w:r w:rsidR="00B21054" w:rsidRPr="008048D3">
              <w:rPr>
                <w:rFonts w:ascii="Verdana" w:hAnsi="Verdana" w:cs="Arial"/>
                <w:b/>
                <w:sz w:val="16"/>
                <w:szCs w:val="16"/>
                <w:lang w:val="lt-LT"/>
              </w:rPr>
              <w:t>ė</w:t>
            </w:r>
            <w:r w:rsidRPr="008048D3">
              <w:rPr>
                <w:rFonts w:ascii="Verdana" w:hAnsi="Verdana" w:cs="Arial"/>
                <w:b/>
                <w:sz w:val="16"/>
                <w:szCs w:val="16"/>
                <w:lang w:val="lt-LT"/>
              </w:rPr>
              <w:t xml:space="preserve"> </w:t>
            </w:r>
            <w:r w:rsidR="00B21054" w:rsidRPr="008048D3">
              <w:rPr>
                <w:rFonts w:ascii="Verdana" w:hAnsi="Verdana" w:cs="Arial"/>
                <w:b/>
                <w:sz w:val="16"/>
                <w:szCs w:val="16"/>
                <w:lang w:val="lt-LT"/>
              </w:rPr>
              <w:t>naudojasi trumpalaikėmis kredito linijos paskolomis apyvartiniam kapitalui finansuoti</w:t>
            </w:r>
            <w:r w:rsidRPr="008048D3">
              <w:rPr>
                <w:rFonts w:ascii="Verdana" w:hAnsi="Verdana" w:cs="Arial"/>
                <w:b/>
                <w:sz w:val="16"/>
                <w:szCs w:val="16"/>
                <w:lang w:val="lt-LT"/>
              </w:rPr>
              <w:t xml:space="preserve">. </w:t>
            </w:r>
            <w:r w:rsidR="00454F84" w:rsidRPr="008048D3">
              <w:rPr>
                <w:rFonts w:ascii="Verdana" w:hAnsi="Verdana" w:cs="Arial"/>
                <w:sz w:val="16"/>
                <w:szCs w:val="16"/>
                <w:lang w:val="lt-LT"/>
              </w:rPr>
              <w:t>2017 m. gruodžio 31 d.</w:t>
            </w:r>
            <w:r w:rsidRPr="008048D3">
              <w:rPr>
                <w:rFonts w:ascii="Verdana" w:hAnsi="Verdana" w:cs="Arial"/>
                <w:sz w:val="16"/>
                <w:szCs w:val="16"/>
                <w:lang w:val="lt-LT"/>
              </w:rPr>
              <w:t xml:space="preserve"> G</w:t>
            </w:r>
            <w:r w:rsidR="00785B49" w:rsidRPr="008048D3">
              <w:rPr>
                <w:rFonts w:ascii="Verdana" w:hAnsi="Verdana" w:cs="Arial"/>
                <w:sz w:val="16"/>
                <w:szCs w:val="16"/>
                <w:lang w:val="lt-LT"/>
              </w:rPr>
              <w:t>r</w:t>
            </w:r>
            <w:r w:rsidRPr="008048D3">
              <w:rPr>
                <w:rFonts w:ascii="Verdana" w:hAnsi="Verdana" w:cs="Arial"/>
                <w:sz w:val="16"/>
                <w:szCs w:val="16"/>
                <w:lang w:val="lt-LT"/>
              </w:rPr>
              <w:t>up</w:t>
            </w:r>
            <w:r w:rsidR="00785B49" w:rsidRPr="008048D3">
              <w:rPr>
                <w:rFonts w:ascii="Verdana" w:hAnsi="Verdana" w:cs="Arial"/>
                <w:sz w:val="16"/>
                <w:szCs w:val="16"/>
                <w:lang w:val="lt-LT"/>
              </w:rPr>
              <w:t>ė</w:t>
            </w:r>
            <w:r w:rsidRPr="008048D3">
              <w:rPr>
                <w:rFonts w:ascii="Verdana" w:hAnsi="Verdana" w:cs="Arial"/>
                <w:sz w:val="16"/>
                <w:szCs w:val="16"/>
                <w:lang w:val="lt-LT"/>
              </w:rPr>
              <w:t xml:space="preserve">s </w:t>
            </w:r>
            <w:r w:rsidR="00785B49" w:rsidRPr="008048D3">
              <w:rPr>
                <w:rFonts w:ascii="Verdana" w:hAnsi="Verdana" w:cs="Arial"/>
                <w:sz w:val="16"/>
                <w:szCs w:val="16"/>
                <w:lang w:val="lt-LT"/>
              </w:rPr>
              <w:t xml:space="preserve">trumpalaikės kredito linijos paskolos siekė </w:t>
            </w:r>
            <w:r w:rsidRPr="008048D3">
              <w:rPr>
                <w:rFonts w:ascii="Verdana" w:hAnsi="Verdana" w:cs="Arial"/>
                <w:sz w:val="16"/>
                <w:szCs w:val="16"/>
                <w:lang w:val="lt-LT"/>
              </w:rPr>
              <w:t>13</w:t>
            </w:r>
            <w:r w:rsidR="00785B49" w:rsidRPr="008048D3">
              <w:rPr>
                <w:rFonts w:ascii="Verdana" w:hAnsi="Verdana" w:cs="Arial"/>
                <w:sz w:val="16"/>
                <w:szCs w:val="16"/>
                <w:lang w:val="lt-LT"/>
              </w:rPr>
              <w:t> </w:t>
            </w:r>
            <w:r w:rsidRPr="008048D3">
              <w:rPr>
                <w:rFonts w:ascii="Verdana" w:hAnsi="Verdana" w:cs="Arial"/>
                <w:sz w:val="16"/>
                <w:szCs w:val="16"/>
                <w:lang w:val="lt-LT"/>
              </w:rPr>
              <w:t xml:space="preserve">607 </w:t>
            </w:r>
            <w:r w:rsidR="00EB41A0" w:rsidRPr="008048D3">
              <w:rPr>
                <w:rFonts w:ascii="Verdana" w:hAnsi="Verdana" w:cs="Arial"/>
                <w:sz w:val="16"/>
                <w:szCs w:val="16"/>
                <w:lang w:val="lt-LT"/>
              </w:rPr>
              <w:t>tūkst.</w:t>
            </w:r>
            <w:r w:rsidRPr="008048D3">
              <w:rPr>
                <w:rFonts w:ascii="Verdana" w:hAnsi="Verdana" w:cs="Arial"/>
                <w:sz w:val="16"/>
                <w:szCs w:val="16"/>
                <w:lang w:val="lt-LT"/>
              </w:rPr>
              <w:t xml:space="preserve"> </w:t>
            </w:r>
            <w:r w:rsidR="00785B49" w:rsidRPr="008048D3">
              <w:rPr>
                <w:rFonts w:ascii="Verdana" w:hAnsi="Verdana" w:cs="Arial"/>
                <w:sz w:val="16"/>
                <w:szCs w:val="16"/>
                <w:lang w:val="lt-LT"/>
              </w:rPr>
              <w:t xml:space="preserve">EUR </w:t>
            </w:r>
            <w:r w:rsidRPr="008048D3">
              <w:rPr>
                <w:rFonts w:ascii="Verdana" w:hAnsi="Verdana" w:cs="Arial"/>
                <w:sz w:val="16"/>
                <w:szCs w:val="16"/>
                <w:lang w:val="lt-LT"/>
              </w:rPr>
              <w:t>(2016</w:t>
            </w:r>
            <w:r w:rsidR="00785B49" w:rsidRPr="008048D3">
              <w:rPr>
                <w:rFonts w:ascii="Verdana" w:hAnsi="Verdana" w:cs="Arial"/>
                <w:sz w:val="16"/>
                <w:szCs w:val="16"/>
                <w:lang w:val="lt-LT"/>
              </w:rPr>
              <w:t xml:space="preserve"> m.</w:t>
            </w:r>
            <w:r w:rsidRPr="008048D3">
              <w:rPr>
                <w:rFonts w:ascii="Verdana" w:hAnsi="Verdana" w:cs="Arial"/>
                <w:sz w:val="16"/>
                <w:szCs w:val="16"/>
                <w:lang w:val="lt-LT"/>
              </w:rPr>
              <w:t xml:space="preserve"> 5</w:t>
            </w:r>
            <w:r w:rsidR="00785B49" w:rsidRPr="008048D3">
              <w:rPr>
                <w:rFonts w:ascii="Verdana" w:hAnsi="Verdana" w:cs="Arial"/>
                <w:sz w:val="16"/>
                <w:szCs w:val="16"/>
                <w:lang w:val="lt-LT"/>
              </w:rPr>
              <w:t> </w:t>
            </w:r>
            <w:r w:rsidRPr="008048D3">
              <w:rPr>
                <w:rFonts w:ascii="Verdana" w:hAnsi="Verdana" w:cs="Arial"/>
                <w:sz w:val="16"/>
                <w:szCs w:val="16"/>
                <w:lang w:val="lt-LT"/>
              </w:rPr>
              <w:t xml:space="preserve">350 </w:t>
            </w:r>
            <w:r w:rsidR="00EB41A0" w:rsidRPr="008048D3">
              <w:rPr>
                <w:rFonts w:ascii="Verdana" w:hAnsi="Verdana" w:cs="Arial"/>
                <w:sz w:val="16"/>
                <w:szCs w:val="16"/>
                <w:lang w:val="lt-LT"/>
              </w:rPr>
              <w:t>tūkst.</w:t>
            </w:r>
            <w:r w:rsidR="00785B49" w:rsidRPr="008048D3">
              <w:rPr>
                <w:rFonts w:ascii="Verdana" w:hAnsi="Verdana" w:cs="Arial"/>
                <w:sz w:val="16"/>
                <w:szCs w:val="16"/>
                <w:lang w:val="lt-LT"/>
              </w:rPr>
              <w:t xml:space="preserve"> EUR</w:t>
            </w:r>
            <w:r w:rsidRPr="008048D3">
              <w:rPr>
                <w:rFonts w:ascii="Verdana" w:hAnsi="Verdana" w:cs="Arial"/>
                <w:sz w:val="16"/>
                <w:szCs w:val="16"/>
                <w:lang w:val="lt-LT"/>
              </w:rPr>
              <w:t xml:space="preserve">). </w:t>
            </w:r>
            <w:r w:rsidR="003B5273" w:rsidRPr="008048D3">
              <w:rPr>
                <w:rFonts w:ascii="Verdana" w:hAnsi="Verdana" w:cs="Arial"/>
                <w:sz w:val="16"/>
                <w:szCs w:val="16"/>
                <w:lang w:val="lt-LT"/>
              </w:rPr>
              <w:t xml:space="preserve">Po pirmo ketvirčio, kuris baigėsi 2018 m. kovo 31 d., Grupės trumpalaikės kredito linijos paskolos siekė 21 673 tūkst. EUR (pagal neaudituotus duomenis). </w:t>
            </w:r>
            <w:r w:rsidR="00785B49" w:rsidRPr="008048D3">
              <w:rPr>
                <w:rFonts w:ascii="Verdana" w:hAnsi="Verdana" w:cs="Arial"/>
                <w:sz w:val="16"/>
                <w:szCs w:val="16"/>
                <w:lang w:val="lt-LT"/>
              </w:rPr>
              <w:t>K</w:t>
            </w:r>
            <w:r w:rsidRPr="008048D3">
              <w:rPr>
                <w:rFonts w:ascii="Verdana" w:hAnsi="Verdana" w:cs="Arial"/>
                <w:sz w:val="16"/>
                <w:szCs w:val="16"/>
                <w:lang w:val="lt-LT"/>
              </w:rPr>
              <w:t>redit</w:t>
            </w:r>
            <w:r w:rsidR="00785B49" w:rsidRPr="008048D3">
              <w:rPr>
                <w:rFonts w:ascii="Verdana" w:hAnsi="Verdana" w:cs="Arial"/>
                <w:sz w:val="16"/>
                <w:szCs w:val="16"/>
                <w:lang w:val="lt-LT"/>
              </w:rPr>
              <w:t>o linijos paskolos naudojamos apyvartiniam kapitalui finansuoti ir kasmet reguliariai atnaujinamos</w:t>
            </w:r>
            <w:r w:rsidRPr="008048D3">
              <w:rPr>
                <w:rFonts w:ascii="Verdana" w:hAnsi="Verdana" w:cs="Arial"/>
                <w:sz w:val="16"/>
                <w:szCs w:val="16"/>
                <w:lang w:val="lt-LT"/>
              </w:rPr>
              <w:t xml:space="preserve">. </w:t>
            </w:r>
            <w:r w:rsidR="00785B49" w:rsidRPr="008048D3">
              <w:rPr>
                <w:rFonts w:ascii="Verdana" w:hAnsi="Verdana" w:cs="Arial"/>
                <w:sz w:val="16"/>
                <w:szCs w:val="16"/>
                <w:lang w:val="lt-LT"/>
              </w:rPr>
              <w:t xml:space="preserve">Jei Grupė turėtų sunkumų atnaujinti / </w:t>
            </w:r>
            <w:proofErr w:type="spellStart"/>
            <w:r w:rsidR="00785B49" w:rsidRPr="008048D3">
              <w:rPr>
                <w:rFonts w:ascii="Verdana" w:hAnsi="Verdana" w:cs="Arial"/>
                <w:sz w:val="16"/>
                <w:szCs w:val="16"/>
                <w:lang w:val="lt-LT"/>
              </w:rPr>
              <w:t>refinansuoti</w:t>
            </w:r>
            <w:proofErr w:type="spellEnd"/>
            <w:r w:rsidR="00785B49" w:rsidRPr="008048D3">
              <w:rPr>
                <w:rFonts w:ascii="Verdana" w:hAnsi="Verdana" w:cs="Arial"/>
                <w:sz w:val="16"/>
                <w:szCs w:val="16"/>
                <w:lang w:val="lt-LT"/>
              </w:rPr>
              <w:t xml:space="preserve"> šias kredito linijos paskolas ar to nepadarytų</w:t>
            </w:r>
            <w:r w:rsidRPr="008048D3">
              <w:rPr>
                <w:rFonts w:ascii="Verdana" w:hAnsi="Verdana" w:cs="Arial"/>
                <w:sz w:val="16"/>
                <w:szCs w:val="16"/>
                <w:lang w:val="lt-LT"/>
              </w:rPr>
              <w:t xml:space="preserve">, </w:t>
            </w:r>
            <w:r w:rsidR="00785B49" w:rsidRPr="008048D3">
              <w:rPr>
                <w:rFonts w:ascii="Verdana" w:hAnsi="Verdana" w:cs="Arial"/>
                <w:sz w:val="16"/>
                <w:szCs w:val="16"/>
                <w:lang w:val="lt-LT"/>
              </w:rPr>
              <w:t>tai potencialiai galėtų turėti reikšmingos neigiamos įtakos Grupės vykdomos ūkinės veiklos tęstinumui</w:t>
            </w:r>
            <w:r w:rsidRPr="008048D3">
              <w:rPr>
                <w:rFonts w:ascii="Verdana" w:hAnsi="Verdana" w:cs="Arial"/>
                <w:sz w:val="16"/>
                <w:szCs w:val="16"/>
                <w:lang w:val="lt-LT"/>
              </w:rPr>
              <w:t>.</w:t>
            </w:r>
            <w:r w:rsidR="00785B49" w:rsidRPr="008048D3">
              <w:rPr>
                <w:rFonts w:ascii="Verdana" w:hAnsi="Verdana" w:cs="Arial"/>
                <w:sz w:val="16"/>
                <w:szCs w:val="16"/>
                <w:lang w:val="lt-LT"/>
              </w:rPr>
              <w:t xml:space="preserve"> </w:t>
            </w:r>
          </w:p>
          <w:p w14:paraId="33F7EDF9" w14:textId="77777777" w:rsidR="00D43A5E" w:rsidRPr="008048D3" w:rsidRDefault="00D43A5E" w:rsidP="00D43A5E">
            <w:pPr>
              <w:ind w:right="-32"/>
              <w:jc w:val="both"/>
              <w:rPr>
                <w:rFonts w:ascii="Verdana" w:hAnsi="Verdana"/>
                <w:sz w:val="16"/>
                <w:szCs w:val="16"/>
                <w:lang w:val="lt-LT"/>
              </w:rPr>
            </w:pPr>
          </w:p>
          <w:p w14:paraId="2EB85480" w14:textId="006CC17D" w:rsidR="00D43A5E" w:rsidRPr="008048D3" w:rsidRDefault="002D073B" w:rsidP="002E2ECF">
            <w:pPr>
              <w:ind w:right="-32"/>
              <w:jc w:val="both"/>
              <w:rPr>
                <w:rFonts w:ascii="Verdana" w:hAnsi="Verdana"/>
                <w:sz w:val="16"/>
                <w:szCs w:val="16"/>
                <w:lang w:val="lt-LT"/>
              </w:rPr>
            </w:pPr>
            <w:r w:rsidRPr="008048D3">
              <w:rPr>
                <w:rFonts w:ascii="Verdana" w:hAnsi="Verdana"/>
                <w:b/>
                <w:sz w:val="16"/>
                <w:szCs w:val="16"/>
                <w:lang w:val="lt-LT"/>
              </w:rPr>
              <w:t>Priklausomybė nuo pagrindinių vadovų ir personalo.</w:t>
            </w:r>
            <w:r w:rsidRPr="008048D3">
              <w:rPr>
                <w:rFonts w:ascii="Verdana" w:hAnsi="Verdana"/>
                <w:sz w:val="16"/>
                <w:szCs w:val="16"/>
                <w:lang w:val="lt-LT"/>
              </w:rPr>
              <w:t xml:space="preserve"> Kiekviena Grupės veiklos sritis priklauso nuo Emitento ir Grupės vadovų komandos, kuri atsako už atskiros srities plėtrą, augimą ir tinkamą kasdienį valdymą. </w:t>
            </w:r>
            <w:r w:rsidR="00D43A5E" w:rsidRPr="008048D3">
              <w:rPr>
                <w:rFonts w:ascii="Verdana" w:hAnsi="Verdana"/>
                <w:sz w:val="16"/>
                <w:szCs w:val="16"/>
                <w:lang w:val="lt-LT"/>
              </w:rPr>
              <w:t>T</w:t>
            </w:r>
            <w:r w:rsidR="0045297B" w:rsidRPr="008048D3">
              <w:rPr>
                <w:rFonts w:ascii="Verdana" w:hAnsi="Verdana"/>
                <w:sz w:val="16"/>
                <w:szCs w:val="16"/>
                <w:lang w:val="lt-LT"/>
              </w:rPr>
              <w:t xml:space="preserve">odėl </w:t>
            </w:r>
            <w:r w:rsidR="00D43A5E" w:rsidRPr="008048D3">
              <w:rPr>
                <w:rFonts w:ascii="Verdana" w:hAnsi="Verdana"/>
                <w:sz w:val="16"/>
                <w:szCs w:val="16"/>
                <w:lang w:val="lt-LT"/>
              </w:rPr>
              <w:t>Grup</w:t>
            </w:r>
            <w:r w:rsidR="0045297B" w:rsidRPr="008048D3">
              <w:rPr>
                <w:rFonts w:ascii="Verdana" w:hAnsi="Verdana"/>
                <w:sz w:val="16"/>
                <w:szCs w:val="16"/>
                <w:lang w:val="lt-LT"/>
              </w:rPr>
              <w:t>ė</w:t>
            </w:r>
            <w:r w:rsidR="00D43A5E" w:rsidRPr="008048D3">
              <w:rPr>
                <w:rFonts w:ascii="Verdana" w:hAnsi="Verdana"/>
                <w:sz w:val="16"/>
                <w:szCs w:val="16"/>
                <w:lang w:val="lt-LT"/>
              </w:rPr>
              <w:t xml:space="preserve">s </w:t>
            </w:r>
            <w:r w:rsidR="0045297B" w:rsidRPr="008048D3">
              <w:rPr>
                <w:rFonts w:ascii="Verdana" w:hAnsi="Verdana"/>
                <w:sz w:val="16"/>
                <w:szCs w:val="16"/>
                <w:lang w:val="lt-LT"/>
              </w:rPr>
              <w:t>galimybės išlikti konkurencija ir įgyvendinti savo strategiją labai priklauso šių žmonių patirties</w:t>
            </w:r>
            <w:r w:rsidR="00D43A5E" w:rsidRPr="008048D3">
              <w:rPr>
                <w:rFonts w:ascii="Verdana" w:hAnsi="Verdana"/>
                <w:sz w:val="16"/>
                <w:szCs w:val="16"/>
                <w:lang w:val="lt-LT"/>
              </w:rPr>
              <w:t xml:space="preserve">, </w:t>
            </w:r>
            <w:r w:rsidR="0045297B" w:rsidRPr="008048D3">
              <w:rPr>
                <w:rFonts w:ascii="Verdana" w:hAnsi="Verdana"/>
                <w:sz w:val="16"/>
                <w:szCs w:val="16"/>
                <w:lang w:val="lt-LT"/>
              </w:rPr>
              <w:t>žinių</w:t>
            </w:r>
            <w:r w:rsidR="00D43A5E" w:rsidRPr="008048D3">
              <w:rPr>
                <w:rFonts w:ascii="Verdana" w:hAnsi="Verdana"/>
                <w:sz w:val="16"/>
                <w:szCs w:val="16"/>
                <w:lang w:val="lt-LT"/>
              </w:rPr>
              <w:t xml:space="preserve">, </w:t>
            </w:r>
            <w:r w:rsidR="0045297B" w:rsidRPr="008048D3">
              <w:rPr>
                <w:rFonts w:ascii="Verdana" w:hAnsi="Verdana"/>
                <w:sz w:val="16"/>
                <w:szCs w:val="16"/>
                <w:lang w:val="lt-LT"/>
              </w:rPr>
              <w:t>asmeninių santykių ir kitų savybių</w:t>
            </w:r>
            <w:r w:rsidR="00D43A5E" w:rsidRPr="008048D3">
              <w:rPr>
                <w:rFonts w:ascii="Verdana" w:hAnsi="Verdana"/>
                <w:sz w:val="16"/>
                <w:szCs w:val="16"/>
                <w:lang w:val="lt-LT"/>
              </w:rPr>
              <w:t>. Grup</w:t>
            </w:r>
            <w:r w:rsidR="00D66125" w:rsidRPr="008048D3">
              <w:rPr>
                <w:rFonts w:ascii="Verdana" w:hAnsi="Verdana"/>
                <w:sz w:val="16"/>
                <w:szCs w:val="16"/>
                <w:lang w:val="lt-LT"/>
              </w:rPr>
              <w:t>ė</w:t>
            </w:r>
            <w:r w:rsidR="00D43A5E" w:rsidRPr="008048D3">
              <w:rPr>
                <w:rFonts w:ascii="Verdana" w:hAnsi="Verdana"/>
                <w:sz w:val="16"/>
                <w:szCs w:val="16"/>
                <w:lang w:val="lt-LT"/>
              </w:rPr>
              <w:t xml:space="preserve">s </w:t>
            </w:r>
            <w:r w:rsidR="00D66125" w:rsidRPr="008048D3">
              <w:rPr>
                <w:rFonts w:ascii="Verdana" w:hAnsi="Verdana"/>
                <w:sz w:val="16"/>
                <w:szCs w:val="16"/>
                <w:lang w:val="lt-LT"/>
              </w:rPr>
              <w:t xml:space="preserve">galimybės pritraukti ir išlaikyti pakankamai aukšto lygio vadovus taip pat gali turėti </w:t>
            </w:r>
            <w:r w:rsidR="00D66125" w:rsidRPr="008048D3">
              <w:rPr>
                <w:rFonts w:ascii="Verdana" w:hAnsi="Verdana"/>
                <w:sz w:val="16"/>
                <w:szCs w:val="16"/>
                <w:lang w:val="lt-LT"/>
              </w:rPr>
              <w:lastRenderedPageBreak/>
              <w:t>įtakos būsimai Emitento sėkmei</w:t>
            </w:r>
            <w:r w:rsidR="00D43A5E" w:rsidRPr="008048D3">
              <w:rPr>
                <w:rFonts w:ascii="Verdana" w:hAnsi="Verdana"/>
                <w:sz w:val="16"/>
                <w:szCs w:val="16"/>
                <w:lang w:val="lt-LT"/>
              </w:rPr>
              <w:t xml:space="preserve">. </w:t>
            </w:r>
          </w:p>
          <w:p w14:paraId="708E769B" w14:textId="77777777" w:rsidR="00D43A5E" w:rsidRPr="008048D3" w:rsidRDefault="00D43A5E" w:rsidP="00D43A5E">
            <w:pPr>
              <w:ind w:right="-32"/>
              <w:jc w:val="both"/>
              <w:rPr>
                <w:rFonts w:ascii="Verdana" w:hAnsi="Verdana"/>
                <w:sz w:val="16"/>
                <w:szCs w:val="16"/>
                <w:lang w:val="lt-LT"/>
              </w:rPr>
            </w:pPr>
          </w:p>
          <w:p w14:paraId="1158DCC4" w14:textId="2F6BBF1C" w:rsidR="00D43A5E" w:rsidRPr="008048D3" w:rsidRDefault="00455E4C" w:rsidP="00D43A5E">
            <w:pPr>
              <w:ind w:right="-32"/>
              <w:jc w:val="both"/>
              <w:rPr>
                <w:rFonts w:ascii="Verdana" w:hAnsi="Verdana"/>
                <w:sz w:val="16"/>
                <w:szCs w:val="16"/>
                <w:lang w:val="lt-LT"/>
              </w:rPr>
            </w:pPr>
            <w:r w:rsidRPr="008048D3">
              <w:rPr>
                <w:rFonts w:ascii="Verdana" w:hAnsi="Verdana"/>
                <w:b/>
                <w:sz w:val="16"/>
                <w:szCs w:val="16"/>
                <w:lang w:val="lt-LT"/>
              </w:rPr>
              <w:t>Galima su aplinkosaugos taisyklių taikymu susijusi rizika</w:t>
            </w:r>
            <w:r w:rsidR="00D43A5E" w:rsidRPr="008048D3">
              <w:rPr>
                <w:rFonts w:ascii="Verdana" w:hAnsi="Verdana"/>
                <w:b/>
                <w:sz w:val="16"/>
                <w:szCs w:val="16"/>
                <w:lang w:val="lt-LT"/>
              </w:rPr>
              <w:t xml:space="preserve">. </w:t>
            </w:r>
            <w:r w:rsidRPr="008048D3">
              <w:rPr>
                <w:rFonts w:ascii="Verdana" w:hAnsi="Verdana"/>
                <w:sz w:val="16"/>
                <w:szCs w:val="16"/>
                <w:lang w:val="lt-LT"/>
              </w:rPr>
              <w:t>Grupė privalo laikytis aplinkosaugos taisyklių ir gali būti laikoma atsakinga už netinkamą tokių taisyklių laikymąsi</w:t>
            </w:r>
            <w:r w:rsidR="00D43A5E" w:rsidRPr="008048D3">
              <w:rPr>
                <w:rFonts w:ascii="Verdana" w:hAnsi="Verdana"/>
                <w:sz w:val="16"/>
                <w:szCs w:val="16"/>
                <w:lang w:val="lt-LT"/>
              </w:rPr>
              <w:t>.</w:t>
            </w:r>
          </w:p>
          <w:p w14:paraId="191A0DF8" w14:textId="77777777" w:rsidR="00D43A5E" w:rsidRPr="008048D3" w:rsidRDefault="00D43A5E" w:rsidP="00D43A5E">
            <w:pPr>
              <w:ind w:right="-32"/>
              <w:jc w:val="both"/>
              <w:rPr>
                <w:rFonts w:ascii="Verdana" w:hAnsi="Verdana"/>
                <w:sz w:val="16"/>
                <w:szCs w:val="16"/>
                <w:lang w:val="lt-LT"/>
              </w:rPr>
            </w:pPr>
          </w:p>
          <w:p w14:paraId="17969081" w14:textId="4DEAAF3E" w:rsidR="00D43A5E" w:rsidRPr="008048D3" w:rsidRDefault="00455E4C" w:rsidP="00D43A5E">
            <w:pPr>
              <w:ind w:right="-32"/>
              <w:jc w:val="both"/>
              <w:rPr>
                <w:rFonts w:ascii="Verdana" w:hAnsi="Verdana"/>
                <w:sz w:val="16"/>
                <w:szCs w:val="16"/>
                <w:lang w:val="lt-LT"/>
              </w:rPr>
            </w:pPr>
            <w:r w:rsidRPr="008048D3">
              <w:rPr>
                <w:rFonts w:ascii="Verdana" w:hAnsi="Verdana"/>
                <w:b/>
                <w:sz w:val="16"/>
                <w:szCs w:val="16"/>
                <w:lang w:val="lt-LT"/>
              </w:rPr>
              <w:t>Grupei gali reikėti iš esmės atnaujinti esamą veiklai naudojamą įrangą</w:t>
            </w:r>
            <w:r w:rsidR="00D43A5E" w:rsidRPr="008048D3">
              <w:rPr>
                <w:rFonts w:ascii="Verdana" w:hAnsi="Verdana"/>
                <w:b/>
                <w:sz w:val="16"/>
                <w:szCs w:val="16"/>
                <w:lang w:val="lt-LT"/>
              </w:rPr>
              <w:t xml:space="preserve">. </w:t>
            </w:r>
            <w:r w:rsidR="00D43A5E" w:rsidRPr="008048D3">
              <w:rPr>
                <w:rFonts w:ascii="Verdana" w:hAnsi="Verdana"/>
                <w:sz w:val="16"/>
                <w:szCs w:val="16"/>
                <w:lang w:val="lt-LT"/>
              </w:rPr>
              <w:t>Grup</w:t>
            </w:r>
            <w:r w:rsidRPr="008048D3">
              <w:rPr>
                <w:rFonts w:ascii="Verdana" w:hAnsi="Verdana"/>
                <w:sz w:val="16"/>
                <w:szCs w:val="16"/>
                <w:lang w:val="lt-LT"/>
              </w:rPr>
              <w:t>ė</w:t>
            </w:r>
            <w:r w:rsidR="00D43A5E" w:rsidRPr="008048D3">
              <w:rPr>
                <w:rFonts w:ascii="Verdana" w:hAnsi="Verdana"/>
                <w:sz w:val="16"/>
                <w:szCs w:val="16"/>
                <w:lang w:val="lt-LT"/>
              </w:rPr>
              <w:t xml:space="preserve"> </w:t>
            </w:r>
            <w:r w:rsidRPr="008048D3">
              <w:rPr>
                <w:rFonts w:ascii="Verdana" w:hAnsi="Verdana"/>
                <w:sz w:val="16"/>
                <w:szCs w:val="16"/>
                <w:lang w:val="lt-LT"/>
              </w:rPr>
              <w:t>savo veikloje naudoja įvairią įrangą ir technologijas</w:t>
            </w:r>
            <w:r w:rsidR="00D43A5E" w:rsidRPr="008048D3">
              <w:rPr>
                <w:rFonts w:ascii="Verdana" w:hAnsi="Verdana"/>
                <w:sz w:val="16"/>
                <w:szCs w:val="16"/>
                <w:lang w:val="lt-LT"/>
              </w:rPr>
              <w:t>. T</w:t>
            </w:r>
            <w:r w:rsidRPr="008048D3">
              <w:rPr>
                <w:rFonts w:ascii="Verdana" w:hAnsi="Verdana"/>
                <w:sz w:val="16"/>
                <w:szCs w:val="16"/>
                <w:lang w:val="lt-LT"/>
              </w:rPr>
              <w:t xml:space="preserve">odėl </w:t>
            </w:r>
            <w:r w:rsidR="00D43A5E" w:rsidRPr="008048D3">
              <w:rPr>
                <w:rFonts w:ascii="Verdana" w:hAnsi="Verdana"/>
                <w:sz w:val="16"/>
                <w:szCs w:val="16"/>
                <w:lang w:val="lt-LT"/>
              </w:rPr>
              <w:t>Grup</w:t>
            </w:r>
            <w:r w:rsidRPr="008048D3">
              <w:rPr>
                <w:rFonts w:ascii="Verdana" w:hAnsi="Verdana"/>
                <w:sz w:val="16"/>
                <w:szCs w:val="16"/>
                <w:lang w:val="lt-LT"/>
              </w:rPr>
              <w:t xml:space="preserve">ė patiria svarbiausios įrangos ir technologijų detalių gedimo </w:t>
            </w:r>
            <w:r w:rsidR="00CE4921" w:rsidRPr="008048D3">
              <w:rPr>
                <w:rFonts w:ascii="Verdana" w:hAnsi="Verdana"/>
                <w:sz w:val="16"/>
                <w:szCs w:val="16"/>
                <w:lang w:val="lt-LT"/>
              </w:rPr>
              <w:t>arba priešlaikinio nusidėvėjimo riziką</w:t>
            </w:r>
            <w:r w:rsidR="00D43A5E" w:rsidRPr="008048D3">
              <w:rPr>
                <w:rFonts w:ascii="Verdana" w:hAnsi="Verdana"/>
                <w:sz w:val="16"/>
                <w:szCs w:val="16"/>
                <w:lang w:val="lt-LT"/>
              </w:rPr>
              <w:t xml:space="preserve">. </w:t>
            </w:r>
            <w:r w:rsidR="00CE4921" w:rsidRPr="008048D3">
              <w:rPr>
                <w:rFonts w:ascii="Verdana" w:hAnsi="Verdana"/>
                <w:sz w:val="16"/>
                <w:szCs w:val="16"/>
                <w:lang w:val="lt-LT"/>
              </w:rPr>
              <w:t>Tokiu atveju Grupė turėtų skirti pakankamai lėšų šios įrangos remontui arba atnaujinimui, tuo ribojant savo galimybes investuoti į plėtrą ir žengti į naujas rinkas</w:t>
            </w:r>
            <w:r w:rsidR="00D43A5E" w:rsidRPr="008048D3">
              <w:rPr>
                <w:rFonts w:ascii="Verdana" w:hAnsi="Verdana"/>
                <w:sz w:val="16"/>
                <w:szCs w:val="16"/>
                <w:lang w:val="lt-LT"/>
              </w:rPr>
              <w:t xml:space="preserve">. </w:t>
            </w:r>
          </w:p>
          <w:p w14:paraId="06325B31" w14:textId="77777777" w:rsidR="00D43A5E" w:rsidRPr="008048D3" w:rsidRDefault="00D43A5E" w:rsidP="00D43A5E">
            <w:pPr>
              <w:ind w:right="-32"/>
              <w:jc w:val="both"/>
              <w:rPr>
                <w:rFonts w:ascii="Verdana" w:hAnsi="Verdana"/>
                <w:sz w:val="16"/>
                <w:szCs w:val="16"/>
                <w:lang w:val="lt-LT"/>
              </w:rPr>
            </w:pPr>
          </w:p>
          <w:p w14:paraId="74278FFD" w14:textId="182EF054" w:rsidR="00D43A5E" w:rsidRPr="008048D3" w:rsidRDefault="008065F3" w:rsidP="00D43A5E">
            <w:pPr>
              <w:widowControl w:val="0"/>
              <w:autoSpaceDE w:val="0"/>
              <w:autoSpaceDN w:val="0"/>
              <w:adjustRightInd w:val="0"/>
              <w:ind w:right="-32"/>
              <w:jc w:val="both"/>
              <w:rPr>
                <w:rFonts w:ascii="Verdana" w:hAnsi="Verdana" w:cs="Arial"/>
                <w:sz w:val="16"/>
                <w:szCs w:val="16"/>
                <w:lang w:val="lt-LT"/>
              </w:rPr>
            </w:pPr>
            <w:r w:rsidRPr="008048D3">
              <w:rPr>
                <w:rFonts w:ascii="Verdana" w:hAnsi="Verdana" w:cs="Arial"/>
                <w:b/>
                <w:sz w:val="16"/>
                <w:szCs w:val="16"/>
                <w:lang w:val="lt-LT"/>
              </w:rPr>
              <w:t>Pagrindinių pirkėjų ir kontrahentų nemokumas</w:t>
            </w:r>
            <w:r w:rsidR="00D43A5E" w:rsidRPr="008048D3">
              <w:rPr>
                <w:rFonts w:ascii="Verdana" w:hAnsi="Verdana" w:cs="Arial"/>
                <w:b/>
                <w:sz w:val="16"/>
                <w:szCs w:val="16"/>
                <w:lang w:val="lt-LT"/>
              </w:rPr>
              <w:t>.</w:t>
            </w:r>
            <w:r w:rsidR="00D43A5E" w:rsidRPr="008048D3">
              <w:rPr>
                <w:rFonts w:ascii="Verdana" w:hAnsi="Verdana" w:cs="Arial"/>
                <w:b/>
                <w:i/>
                <w:sz w:val="16"/>
                <w:szCs w:val="16"/>
                <w:lang w:val="lt-LT"/>
              </w:rPr>
              <w:t xml:space="preserve"> </w:t>
            </w:r>
            <w:r w:rsidRPr="008048D3">
              <w:rPr>
                <w:rFonts w:ascii="Verdana" w:hAnsi="Verdana" w:cs="Arial"/>
                <w:sz w:val="16"/>
                <w:szCs w:val="16"/>
                <w:lang w:val="lt-LT"/>
              </w:rPr>
              <w:t>Grupės pirkėjų ar kontrahentų nemokumas Grupei gali reikšti nuostolius ir gali turėti esminės neigiamos įtakos Grupės pajamoms ir veiklos rezultatams</w:t>
            </w:r>
            <w:r w:rsidR="00D43A5E" w:rsidRPr="008048D3">
              <w:rPr>
                <w:rFonts w:ascii="Verdana" w:hAnsi="Verdana" w:cs="Arial"/>
                <w:sz w:val="16"/>
                <w:szCs w:val="16"/>
                <w:lang w:val="lt-LT"/>
              </w:rPr>
              <w:t xml:space="preserve">. </w:t>
            </w:r>
            <w:r w:rsidRPr="008048D3">
              <w:rPr>
                <w:rFonts w:ascii="Verdana" w:hAnsi="Verdana" w:cs="Arial"/>
                <w:sz w:val="16"/>
                <w:szCs w:val="16"/>
                <w:lang w:val="lt-LT"/>
              </w:rPr>
              <w:t xml:space="preserve">Tačiau Vadovybė mano, kad jos klientų </w:t>
            </w:r>
            <w:r w:rsidR="00D43A5E" w:rsidRPr="008048D3">
              <w:rPr>
                <w:rFonts w:ascii="Verdana" w:hAnsi="Verdana" w:cs="Arial"/>
                <w:sz w:val="16"/>
                <w:szCs w:val="16"/>
                <w:lang w:val="lt-LT"/>
              </w:rPr>
              <w:t>portf</w:t>
            </w:r>
            <w:r w:rsidRPr="008048D3">
              <w:rPr>
                <w:rFonts w:ascii="Verdana" w:hAnsi="Verdana" w:cs="Arial"/>
                <w:sz w:val="16"/>
                <w:szCs w:val="16"/>
                <w:lang w:val="lt-LT"/>
              </w:rPr>
              <w:t>e</w:t>
            </w:r>
            <w:r w:rsidR="00D43A5E" w:rsidRPr="008048D3">
              <w:rPr>
                <w:rFonts w:ascii="Verdana" w:hAnsi="Verdana" w:cs="Arial"/>
                <w:sz w:val="16"/>
                <w:szCs w:val="16"/>
                <w:lang w:val="lt-LT"/>
              </w:rPr>
              <w:t>li</w:t>
            </w:r>
            <w:r w:rsidRPr="008048D3">
              <w:rPr>
                <w:rFonts w:ascii="Verdana" w:hAnsi="Verdana" w:cs="Arial"/>
                <w:sz w:val="16"/>
                <w:szCs w:val="16"/>
                <w:lang w:val="lt-LT"/>
              </w:rPr>
              <w:t>s</w:t>
            </w:r>
            <w:r w:rsidR="00D43A5E" w:rsidRPr="008048D3">
              <w:rPr>
                <w:rFonts w:ascii="Verdana" w:hAnsi="Verdana" w:cs="Arial"/>
                <w:sz w:val="16"/>
                <w:szCs w:val="16"/>
                <w:lang w:val="lt-LT"/>
              </w:rPr>
              <w:t xml:space="preserve"> </w:t>
            </w:r>
            <w:r w:rsidRPr="008048D3">
              <w:rPr>
                <w:rFonts w:ascii="Verdana" w:hAnsi="Verdana" w:cs="Arial"/>
                <w:sz w:val="16"/>
                <w:szCs w:val="16"/>
                <w:lang w:val="lt-LT"/>
              </w:rPr>
              <w:t xml:space="preserve">yra pakankamai </w:t>
            </w:r>
            <w:r w:rsidR="00D43A5E" w:rsidRPr="008048D3">
              <w:rPr>
                <w:rFonts w:ascii="Verdana" w:hAnsi="Verdana" w:cs="Arial"/>
                <w:sz w:val="16"/>
                <w:szCs w:val="16"/>
                <w:lang w:val="lt-LT"/>
              </w:rPr>
              <w:t>diversifi</w:t>
            </w:r>
            <w:r w:rsidRPr="008048D3">
              <w:rPr>
                <w:rFonts w:ascii="Verdana" w:hAnsi="Verdana" w:cs="Arial"/>
                <w:sz w:val="16"/>
                <w:szCs w:val="16"/>
                <w:lang w:val="lt-LT"/>
              </w:rPr>
              <w:t>kuotas</w:t>
            </w:r>
            <w:r w:rsidR="00D43A5E" w:rsidRPr="008048D3">
              <w:rPr>
                <w:rFonts w:ascii="Verdana" w:hAnsi="Verdana" w:cs="Arial"/>
                <w:sz w:val="16"/>
                <w:szCs w:val="16"/>
                <w:lang w:val="lt-LT"/>
              </w:rPr>
              <w:t xml:space="preserve">, </w:t>
            </w:r>
            <w:r w:rsidRPr="008048D3">
              <w:rPr>
                <w:rFonts w:ascii="Verdana" w:hAnsi="Verdana" w:cs="Arial"/>
                <w:sz w:val="16"/>
                <w:szCs w:val="16"/>
                <w:lang w:val="lt-LT"/>
              </w:rPr>
              <w:t xml:space="preserve">iš </w:t>
            </w:r>
            <w:r w:rsidR="00D43A5E" w:rsidRPr="008048D3">
              <w:rPr>
                <w:rFonts w:ascii="Verdana" w:hAnsi="Verdana" w:cs="Arial"/>
                <w:sz w:val="16"/>
                <w:szCs w:val="16"/>
                <w:lang w:val="lt-LT"/>
              </w:rPr>
              <w:t xml:space="preserve">10 </w:t>
            </w:r>
            <w:r w:rsidRPr="008048D3">
              <w:rPr>
                <w:rFonts w:ascii="Verdana" w:hAnsi="Verdana" w:cs="Arial"/>
                <w:sz w:val="16"/>
                <w:szCs w:val="16"/>
                <w:lang w:val="lt-LT"/>
              </w:rPr>
              <w:t>didžiausių k</w:t>
            </w:r>
            <w:r w:rsidR="00D43A5E" w:rsidRPr="008048D3">
              <w:rPr>
                <w:rFonts w:ascii="Verdana" w:hAnsi="Verdana" w:cs="Arial"/>
                <w:sz w:val="16"/>
                <w:szCs w:val="16"/>
                <w:lang w:val="lt-LT"/>
              </w:rPr>
              <w:t>lient</w:t>
            </w:r>
            <w:r w:rsidRPr="008048D3">
              <w:rPr>
                <w:rFonts w:ascii="Verdana" w:hAnsi="Verdana" w:cs="Arial"/>
                <w:sz w:val="16"/>
                <w:szCs w:val="16"/>
                <w:lang w:val="lt-LT"/>
              </w:rPr>
              <w:t xml:space="preserve">ų gaunama apytiksliai </w:t>
            </w:r>
            <w:r w:rsidR="00D43A5E" w:rsidRPr="008048D3">
              <w:rPr>
                <w:rFonts w:ascii="Verdana" w:hAnsi="Verdana" w:cs="Arial"/>
                <w:sz w:val="16"/>
                <w:szCs w:val="16"/>
                <w:lang w:val="lt-LT"/>
              </w:rPr>
              <w:t>50% Grup</w:t>
            </w:r>
            <w:r w:rsidRPr="008048D3">
              <w:rPr>
                <w:rFonts w:ascii="Verdana" w:hAnsi="Verdana" w:cs="Arial"/>
                <w:sz w:val="16"/>
                <w:szCs w:val="16"/>
                <w:lang w:val="lt-LT"/>
              </w:rPr>
              <w:t>ės</w:t>
            </w:r>
            <w:r w:rsidR="00D43A5E" w:rsidRPr="008048D3">
              <w:rPr>
                <w:rFonts w:ascii="Verdana" w:hAnsi="Verdana" w:cs="Arial"/>
                <w:sz w:val="16"/>
                <w:szCs w:val="16"/>
                <w:lang w:val="lt-LT"/>
              </w:rPr>
              <w:t xml:space="preserve"> </w:t>
            </w:r>
            <w:r w:rsidRPr="008048D3">
              <w:rPr>
                <w:rFonts w:ascii="Verdana" w:hAnsi="Verdana" w:cs="Arial"/>
                <w:sz w:val="16"/>
                <w:szCs w:val="16"/>
                <w:lang w:val="lt-LT"/>
              </w:rPr>
              <w:t>pardavimų pajamų</w:t>
            </w:r>
            <w:r w:rsidR="00D43A5E" w:rsidRPr="008048D3">
              <w:rPr>
                <w:rFonts w:ascii="Verdana" w:hAnsi="Verdana" w:cs="Arial"/>
                <w:sz w:val="16"/>
                <w:szCs w:val="16"/>
                <w:lang w:val="lt-LT"/>
              </w:rPr>
              <w:t xml:space="preserve">, </w:t>
            </w:r>
            <w:r w:rsidRPr="008048D3">
              <w:rPr>
                <w:rFonts w:ascii="Verdana" w:hAnsi="Verdana" w:cs="Arial"/>
                <w:sz w:val="16"/>
                <w:szCs w:val="16"/>
                <w:lang w:val="lt-LT"/>
              </w:rPr>
              <w:t xml:space="preserve">o iš paties didžiausio kliento </w:t>
            </w:r>
            <w:r w:rsidR="00D43A5E" w:rsidRPr="008048D3">
              <w:rPr>
                <w:rFonts w:ascii="Verdana" w:hAnsi="Verdana" w:cs="Arial"/>
                <w:sz w:val="16"/>
                <w:szCs w:val="16"/>
                <w:lang w:val="lt-LT"/>
              </w:rPr>
              <w:t>– a</w:t>
            </w:r>
            <w:r w:rsidRPr="008048D3">
              <w:rPr>
                <w:rFonts w:ascii="Verdana" w:hAnsi="Verdana" w:cs="Arial"/>
                <w:sz w:val="16"/>
                <w:szCs w:val="16"/>
                <w:lang w:val="lt-LT"/>
              </w:rPr>
              <w:t xml:space="preserve">pie </w:t>
            </w:r>
            <w:r w:rsidR="00D43A5E" w:rsidRPr="008048D3">
              <w:rPr>
                <w:rFonts w:ascii="Verdana" w:hAnsi="Verdana" w:cs="Arial"/>
                <w:sz w:val="16"/>
                <w:szCs w:val="16"/>
                <w:lang w:val="lt-LT"/>
              </w:rPr>
              <w:t xml:space="preserve">13% </w:t>
            </w:r>
            <w:r w:rsidRPr="008048D3">
              <w:rPr>
                <w:rFonts w:ascii="Verdana" w:hAnsi="Verdana" w:cs="Arial"/>
                <w:sz w:val="16"/>
                <w:szCs w:val="16"/>
                <w:lang w:val="lt-LT"/>
              </w:rPr>
              <w:t>Grupės pardavimų pajamų</w:t>
            </w:r>
            <w:r w:rsidR="00D43A5E" w:rsidRPr="008048D3">
              <w:rPr>
                <w:rFonts w:ascii="Verdana" w:hAnsi="Verdana" w:cs="Arial"/>
                <w:sz w:val="16"/>
                <w:szCs w:val="16"/>
                <w:lang w:val="lt-LT"/>
              </w:rPr>
              <w:t xml:space="preserve">. </w:t>
            </w:r>
          </w:p>
          <w:p w14:paraId="2CCBDE9D" w14:textId="77777777" w:rsidR="00D43A5E" w:rsidRPr="008048D3" w:rsidRDefault="00D43A5E" w:rsidP="00D43A5E">
            <w:pPr>
              <w:widowControl w:val="0"/>
              <w:autoSpaceDE w:val="0"/>
              <w:autoSpaceDN w:val="0"/>
              <w:adjustRightInd w:val="0"/>
              <w:ind w:right="-32"/>
              <w:jc w:val="both"/>
              <w:rPr>
                <w:rFonts w:ascii="Verdana" w:hAnsi="Verdana" w:cs="Arial"/>
                <w:b/>
                <w:i/>
                <w:sz w:val="16"/>
                <w:szCs w:val="16"/>
                <w:lang w:val="lt-LT"/>
              </w:rPr>
            </w:pPr>
          </w:p>
          <w:p w14:paraId="460AE31D" w14:textId="50D772BB" w:rsidR="00D43A5E" w:rsidRPr="008048D3" w:rsidRDefault="007D3A09" w:rsidP="00D43A5E">
            <w:pPr>
              <w:ind w:right="-32"/>
              <w:jc w:val="both"/>
              <w:rPr>
                <w:rFonts w:ascii="Verdana" w:hAnsi="Verdana"/>
                <w:sz w:val="16"/>
                <w:szCs w:val="16"/>
                <w:lang w:val="lt-LT"/>
              </w:rPr>
            </w:pPr>
            <w:r w:rsidRPr="008048D3">
              <w:rPr>
                <w:rFonts w:ascii="Verdana" w:hAnsi="Verdana"/>
                <w:b/>
                <w:sz w:val="16"/>
                <w:szCs w:val="16"/>
                <w:lang w:val="lt-LT"/>
              </w:rPr>
              <w:t>Grupė priklauso nuo trečiųjų šalių, tiekiančių įrengimus ir žaliavas</w:t>
            </w:r>
            <w:r w:rsidR="00D43A5E" w:rsidRPr="008048D3">
              <w:rPr>
                <w:rFonts w:ascii="Verdana" w:hAnsi="Verdana"/>
                <w:b/>
                <w:sz w:val="16"/>
                <w:szCs w:val="16"/>
                <w:lang w:val="lt-LT"/>
              </w:rPr>
              <w:t>.</w:t>
            </w:r>
            <w:r w:rsidR="00D43A5E" w:rsidRPr="008048D3">
              <w:rPr>
                <w:rFonts w:ascii="Verdana" w:hAnsi="Verdana"/>
                <w:sz w:val="16"/>
                <w:szCs w:val="16"/>
                <w:lang w:val="lt-LT"/>
              </w:rPr>
              <w:t xml:space="preserve"> </w:t>
            </w:r>
            <w:r w:rsidRPr="008048D3">
              <w:rPr>
                <w:rFonts w:ascii="Verdana" w:hAnsi="Verdana"/>
                <w:sz w:val="16"/>
                <w:szCs w:val="16"/>
                <w:lang w:val="lt-LT"/>
              </w:rPr>
              <w:t xml:space="preserve">Jei </w:t>
            </w:r>
            <w:r w:rsidR="00D43A5E" w:rsidRPr="008048D3">
              <w:rPr>
                <w:rFonts w:ascii="Verdana" w:hAnsi="Verdana"/>
                <w:sz w:val="16"/>
                <w:szCs w:val="16"/>
                <w:lang w:val="lt-LT"/>
              </w:rPr>
              <w:t>Grup</w:t>
            </w:r>
            <w:r w:rsidRPr="008048D3">
              <w:rPr>
                <w:rFonts w:ascii="Verdana" w:hAnsi="Verdana"/>
                <w:sz w:val="16"/>
                <w:szCs w:val="16"/>
                <w:lang w:val="lt-LT"/>
              </w:rPr>
              <w:t>ė</w:t>
            </w:r>
            <w:r w:rsidR="00D43A5E" w:rsidRPr="008048D3">
              <w:rPr>
                <w:rFonts w:ascii="Verdana" w:hAnsi="Verdana"/>
                <w:sz w:val="16"/>
                <w:szCs w:val="16"/>
                <w:lang w:val="lt-LT"/>
              </w:rPr>
              <w:t xml:space="preserve"> </w:t>
            </w:r>
            <w:r w:rsidRPr="008048D3">
              <w:rPr>
                <w:rFonts w:ascii="Verdana" w:hAnsi="Verdana"/>
                <w:sz w:val="16"/>
                <w:szCs w:val="16"/>
                <w:lang w:val="lt-LT"/>
              </w:rPr>
              <w:t xml:space="preserve">negalės užsitikrinti </w:t>
            </w:r>
            <w:r w:rsidR="00B30517" w:rsidRPr="008048D3">
              <w:rPr>
                <w:rFonts w:ascii="Verdana" w:hAnsi="Verdana"/>
                <w:sz w:val="16"/>
                <w:szCs w:val="16"/>
                <w:lang w:val="lt-LT"/>
              </w:rPr>
              <w:t>įrengimų ir žaliavų, tokių kaip sėklos, kuras, pašarai, ekologiniam ūkininkavimui tinkamos trąšos ir pan., pakankamų kiekių tiekimo protingomis kainomis</w:t>
            </w:r>
            <w:r w:rsidR="00D43A5E" w:rsidRPr="008048D3">
              <w:rPr>
                <w:rFonts w:ascii="Verdana" w:hAnsi="Verdana"/>
                <w:sz w:val="16"/>
                <w:szCs w:val="16"/>
                <w:lang w:val="lt-LT"/>
              </w:rPr>
              <w:t xml:space="preserve">, </w:t>
            </w:r>
            <w:r w:rsidR="00B30517" w:rsidRPr="008048D3">
              <w:rPr>
                <w:rFonts w:ascii="Verdana" w:hAnsi="Verdana"/>
                <w:sz w:val="16"/>
                <w:szCs w:val="16"/>
                <w:lang w:val="lt-LT"/>
              </w:rPr>
              <w:t>kad galėtų vykdyti savo ūkinę veiklą</w:t>
            </w:r>
            <w:r w:rsidR="00562CD0" w:rsidRPr="008048D3">
              <w:rPr>
                <w:rFonts w:ascii="Verdana" w:hAnsi="Verdana"/>
                <w:sz w:val="16"/>
                <w:szCs w:val="16"/>
                <w:lang w:val="lt-LT"/>
              </w:rPr>
              <w:t>,</w:t>
            </w:r>
            <w:r w:rsidR="00B30517" w:rsidRPr="008048D3">
              <w:rPr>
                <w:rFonts w:ascii="Verdana" w:hAnsi="Verdana"/>
                <w:sz w:val="16"/>
                <w:szCs w:val="16"/>
                <w:lang w:val="lt-LT"/>
              </w:rPr>
              <w:t xml:space="preserve"> arba jei kurios nors trečiosios šalys, tiekiančios jai įrengimus ir žaliavas, nevykdytų tiekimo taip, kaip iš jų tikimasi, tai gali turėti esminės neigiamos įtakos </w:t>
            </w:r>
            <w:r w:rsidR="00D43A5E" w:rsidRPr="008048D3">
              <w:rPr>
                <w:rFonts w:ascii="Verdana" w:hAnsi="Verdana"/>
                <w:sz w:val="16"/>
                <w:szCs w:val="16"/>
                <w:lang w:val="lt-LT"/>
              </w:rPr>
              <w:t>Grup</w:t>
            </w:r>
            <w:r w:rsidR="00B30517" w:rsidRPr="008048D3">
              <w:rPr>
                <w:rFonts w:ascii="Verdana" w:hAnsi="Verdana"/>
                <w:sz w:val="16"/>
                <w:szCs w:val="16"/>
                <w:lang w:val="lt-LT"/>
              </w:rPr>
              <w:t>ė</w:t>
            </w:r>
            <w:r w:rsidR="00D43A5E" w:rsidRPr="008048D3">
              <w:rPr>
                <w:rFonts w:ascii="Verdana" w:hAnsi="Verdana"/>
                <w:sz w:val="16"/>
                <w:szCs w:val="16"/>
                <w:lang w:val="lt-LT"/>
              </w:rPr>
              <w:t xml:space="preserve">s </w:t>
            </w:r>
            <w:r w:rsidR="00B30517" w:rsidRPr="008048D3">
              <w:rPr>
                <w:rFonts w:ascii="Verdana" w:hAnsi="Verdana"/>
                <w:sz w:val="16"/>
                <w:szCs w:val="16"/>
                <w:lang w:val="lt-LT"/>
              </w:rPr>
              <w:t>veiklai</w:t>
            </w:r>
            <w:r w:rsidR="00D43A5E" w:rsidRPr="008048D3">
              <w:rPr>
                <w:rFonts w:ascii="Verdana" w:hAnsi="Verdana"/>
                <w:sz w:val="16"/>
                <w:szCs w:val="16"/>
                <w:lang w:val="lt-LT"/>
              </w:rPr>
              <w:t>, finan</w:t>
            </w:r>
            <w:r w:rsidR="00B30517" w:rsidRPr="008048D3">
              <w:rPr>
                <w:rFonts w:ascii="Verdana" w:hAnsi="Verdana"/>
                <w:sz w:val="16"/>
                <w:szCs w:val="16"/>
                <w:lang w:val="lt-LT"/>
              </w:rPr>
              <w:t>sinėms sąlygoms</w:t>
            </w:r>
            <w:r w:rsidR="00D43A5E" w:rsidRPr="008048D3">
              <w:rPr>
                <w:rFonts w:ascii="Verdana" w:hAnsi="Verdana"/>
                <w:sz w:val="16"/>
                <w:szCs w:val="16"/>
                <w:lang w:val="lt-LT"/>
              </w:rPr>
              <w:t xml:space="preserve">, </w:t>
            </w:r>
            <w:r w:rsidR="00B30517" w:rsidRPr="008048D3">
              <w:rPr>
                <w:rFonts w:ascii="Verdana" w:hAnsi="Verdana"/>
                <w:sz w:val="16"/>
                <w:szCs w:val="16"/>
                <w:lang w:val="lt-LT"/>
              </w:rPr>
              <w:t>veiklos rezultatams ir perspektyvoms</w:t>
            </w:r>
            <w:r w:rsidR="00D43A5E" w:rsidRPr="008048D3">
              <w:rPr>
                <w:rFonts w:ascii="Verdana" w:hAnsi="Verdana"/>
                <w:sz w:val="16"/>
                <w:szCs w:val="16"/>
                <w:lang w:val="lt-LT"/>
              </w:rPr>
              <w:t xml:space="preserve">. </w:t>
            </w:r>
          </w:p>
          <w:p w14:paraId="2AB7A1F5" w14:textId="77777777" w:rsidR="00D43A5E" w:rsidRPr="008048D3" w:rsidRDefault="00D43A5E" w:rsidP="00D43A5E">
            <w:pPr>
              <w:ind w:right="-32"/>
              <w:jc w:val="both"/>
              <w:rPr>
                <w:rFonts w:ascii="Verdana" w:hAnsi="Verdana"/>
                <w:sz w:val="16"/>
                <w:szCs w:val="16"/>
                <w:lang w:val="lt-LT"/>
              </w:rPr>
            </w:pPr>
          </w:p>
          <w:p w14:paraId="61CD0659" w14:textId="4D0C2476" w:rsidR="00D43A5E" w:rsidRPr="008048D3" w:rsidRDefault="00B30517" w:rsidP="00D43A5E">
            <w:pPr>
              <w:ind w:right="-32"/>
              <w:jc w:val="both"/>
              <w:rPr>
                <w:rFonts w:ascii="Verdana" w:hAnsi="Verdana"/>
                <w:sz w:val="16"/>
                <w:szCs w:val="16"/>
                <w:lang w:val="lt-LT"/>
              </w:rPr>
            </w:pPr>
            <w:r w:rsidRPr="008048D3">
              <w:rPr>
                <w:rFonts w:ascii="Verdana" w:hAnsi="Verdana"/>
                <w:b/>
                <w:sz w:val="16"/>
                <w:szCs w:val="16"/>
                <w:lang w:val="lt-LT"/>
              </w:rPr>
              <w:t>Pagal Grupės žemės nuomos sutartis mokamos sumos gali išaugti</w:t>
            </w:r>
            <w:r w:rsidR="00D43A5E" w:rsidRPr="008048D3">
              <w:rPr>
                <w:rFonts w:ascii="Verdana" w:hAnsi="Verdana"/>
                <w:b/>
                <w:sz w:val="16"/>
                <w:szCs w:val="16"/>
                <w:lang w:val="lt-LT"/>
              </w:rPr>
              <w:t>.</w:t>
            </w:r>
            <w:r w:rsidR="00D43A5E" w:rsidRPr="008048D3">
              <w:rPr>
                <w:rFonts w:ascii="Verdana" w:hAnsi="Verdana"/>
                <w:sz w:val="16"/>
                <w:szCs w:val="16"/>
                <w:lang w:val="lt-LT"/>
              </w:rPr>
              <w:t xml:space="preserve"> </w:t>
            </w:r>
            <w:r w:rsidR="00454F84" w:rsidRPr="008048D3">
              <w:rPr>
                <w:rFonts w:ascii="Verdana" w:hAnsi="Verdana"/>
                <w:sz w:val="16"/>
                <w:szCs w:val="16"/>
                <w:lang w:val="lt-LT"/>
              </w:rPr>
              <w:t>201</w:t>
            </w:r>
            <w:r w:rsidR="00211057" w:rsidRPr="008048D3">
              <w:rPr>
                <w:rFonts w:ascii="Verdana" w:hAnsi="Verdana"/>
                <w:sz w:val="16"/>
                <w:szCs w:val="16"/>
                <w:lang w:val="lt-LT"/>
              </w:rPr>
              <w:t>8</w:t>
            </w:r>
            <w:r w:rsidR="00454F84" w:rsidRPr="008048D3">
              <w:rPr>
                <w:rFonts w:ascii="Verdana" w:hAnsi="Verdana"/>
                <w:sz w:val="16"/>
                <w:szCs w:val="16"/>
                <w:lang w:val="lt-LT"/>
              </w:rPr>
              <w:t xml:space="preserve"> m. </w:t>
            </w:r>
            <w:r w:rsidR="00211057" w:rsidRPr="008048D3">
              <w:rPr>
                <w:rFonts w:ascii="Verdana" w:hAnsi="Verdana"/>
                <w:sz w:val="16"/>
                <w:szCs w:val="16"/>
                <w:lang w:val="lt-LT"/>
              </w:rPr>
              <w:t xml:space="preserve">kovo </w:t>
            </w:r>
            <w:r w:rsidR="00454F84" w:rsidRPr="008048D3">
              <w:rPr>
                <w:rFonts w:ascii="Verdana" w:hAnsi="Verdana"/>
                <w:sz w:val="16"/>
                <w:szCs w:val="16"/>
                <w:lang w:val="lt-LT"/>
              </w:rPr>
              <w:t>31</w:t>
            </w:r>
            <w:r w:rsidR="00211057" w:rsidRPr="008048D3">
              <w:rPr>
                <w:rFonts w:ascii="Verdana" w:hAnsi="Verdana"/>
                <w:sz w:val="16"/>
                <w:szCs w:val="16"/>
                <w:lang w:val="lt-LT"/>
              </w:rPr>
              <w:t> </w:t>
            </w:r>
            <w:r w:rsidR="00454F84" w:rsidRPr="008048D3">
              <w:rPr>
                <w:rFonts w:ascii="Verdana" w:hAnsi="Verdana"/>
                <w:sz w:val="16"/>
                <w:szCs w:val="16"/>
                <w:lang w:val="lt-LT"/>
              </w:rPr>
              <w:t>d.</w:t>
            </w:r>
            <w:r w:rsidR="00D43A5E" w:rsidRPr="008048D3">
              <w:rPr>
                <w:rFonts w:ascii="Verdana" w:hAnsi="Verdana"/>
                <w:sz w:val="16"/>
                <w:szCs w:val="16"/>
                <w:lang w:val="lt-LT"/>
              </w:rPr>
              <w:t xml:space="preserve"> Grup</w:t>
            </w:r>
            <w:r w:rsidRPr="008048D3">
              <w:rPr>
                <w:rFonts w:ascii="Verdana" w:hAnsi="Verdana"/>
                <w:sz w:val="16"/>
                <w:szCs w:val="16"/>
                <w:lang w:val="lt-LT"/>
              </w:rPr>
              <w:t xml:space="preserve">ei nuosavybės teise priklausė virš </w:t>
            </w:r>
            <w:r w:rsidR="00D43A5E" w:rsidRPr="008048D3">
              <w:rPr>
                <w:rFonts w:ascii="Verdana" w:hAnsi="Verdana"/>
                <w:sz w:val="16"/>
                <w:szCs w:val="16"/>
                <w:lang w:val="lt-LT"/>
              </w:rPr>
              <w:t xml:space="preserve">3 </w:t>
            </w:r>
            <w:r w:rsidR="00EB41A0" w:rsidRPr="008048D3">
              <w:rPr>
                <w:rFonts w:ascii="Verdana" w:hAnsi="Verdana"/>
                <w:sz w:val="16"/>
                <w:szCs w:val="16"/>
                <w:lang w:val="lt-LT"/>
              </w:rPr>
              <w:t>tūkst.</w:t>
            </w:r>
            <w:r w:rsidR="00D43A5E" w:rsidRPr="008048D3">
              <w:rPr>
                <w:rFonts w:ascii="Verdana" w:hAnsi="Verdana"/>
                <w:sz w:val="16"/>
                <w:szCs w:val="16"/>
                <w:lang w:val="lt-LT"/>
              </w:rPr>
              <w:t xml:space="preserve"> h</w:t>
            </w:r>
            <w:r w:rsidRPr="008048D3">
              <w:rPr>
                <w:rFonts w:ascii="Verdana" w:hAnsi="Verdana"/>
                <w:sz w:val="16"/>
                <w:szCs w:val="16"/>
                <w:lang w:val="lt-LT"/>
              </w:rPr>
              <w:t>a</w:t>
            </w:r>
            <w:r w:rsidR="00D43A5E" w:rsidRPr="008048D3">
              <w:rPr>
                <w:rFonts w:ascii="Verdana" w:hAnsi="Verdana"/>
                <w:sz w:val="16"/>
                <w:szCs w:val="16"/>
                <w:lang w:val="lt-LT"/>
              </w:rPr>
              <w:t xml:space="preserve"> </w:t>
            </w:r>
            <w:r w:rsidRPr="008048D3">
              <w:rPr>
                <w:rFonts w:ascii="Verdana" w:hAnsi="Verdana"/>
                <w:sz w:val="16"/>
                <w:szCs w:val="16"/>
                <w:lang w:val="lt-LT"/>
              </w:rPr>
              <w:t xml:space="preserve">žemės ūkio paskirties žemės, Grupė dirbo virš </w:t>
            </w:r>
            <w:r w:rsidR="00D43A5E" w:rsidRPr="008048D3">
              <w:rPr>
                <w:rFonts w:ascii="Verdana" w:hAnsi="Verdana"/>
                <w:sz w:val="16"/>
                <w:szCs w:val="16"/>
                <w:lang w:val="lt-LT"/>
              </w:rPr>
              <w:t>3</w:t>
            </w:r>
            <w:r w:rsidR="00036136" w:rsidRPr="008048D3">
              <w:rPr>
                <w:rFonts w:ascii="Verdana" w:hAnsi="Verdana"/>
                <w:sz w:val="16"/>
                <w:szCs w:val="16"/>
                <w:lang w:val="lt-LT"/>
              </w:rPr>
              <w:t>8</w:t>
            </w:r>
            <w:r w:rsidR="00D43A5E" w:rsidRPr="008048D3">
              <w:rPr>
                <w:rFonts w:ascii="Verdana" w:hAnsi="Verdana"/>
                <w:sz w:val="16"/>
                <w:szCs w:val="16"/>
                <w:lang w:val="lt-LT"/>
              </w:rPr>
              <w:t xml:space="preserve"> </w:t>
            </w:r>
            <w:r w:rsidR="00EB41A0" w:rsidRPr="008048D3">
              <w:rPr>
                <w:rFonts w:ascii="Verdana" w:hAnsi="Verdana"/>
                <w:sz w:val="16"/>
                <w:szCs w:val="16"/>
                <w:lang w:val="lt-LT"/>
              </w:rPr>
              <w:t>tūkst.</w:t>
            </w:r>
            <w:r w:rsidR="00D43A5E" w:rsidRPr="008048D3">
              <w:rPr>
                <w:rFonts w:ascii="Verdana" w:hAnsi="Verdana"/>
                <w:sz w:val="16"/>
                <w:szCs w:val="16"/>
                <w:lang w:val="lt-LT"/>
              </w:rPr>
              <w:t xml:space="preserve"> h</w:t>
            </w:r>
            <w:r w:rsidRPr="008048D3">
              <w:rPr>
                <w:rFonts w:ascii="Verdana" w:hAnsi="Verdana"/>
                <w:sz w:val="16"/>
                <w:szCs w:val="16"/>
                <w:lang w:val="lt-LT"/>
              </w:rPr>
              <w:t>a žemės ūkio paskirties žemės</w:t>
            </w:r>
            <w:r w:rsidR="00D43A5E" w:rsidRPr="008048D3">
              <w:rPr>
                <w:rFonts w:ascii="Verdana" w:hAnsi="Verdana"/>
                <w:sz w:val="16"/>
                <w:szCs w:val="16"/>
                <w:lang w:val="lt-LT"/>
              </w:rPr>
              <w:t xml:space="preserve">, </w:t>
            </w:r>
            <w:r w:rsidRPr="008048D3">
              <w:rPr>
                <w:rFonts w:ascii="Verdana" w:hAnsi="Verdana"/>
                <w:sz w:val="16"/>
                <w:szCs w:val="16"/>
                <w:lang w:val="lt-LT"/>
              </w:rPr>
              <w:t xml:space="preserve">iš kurių apie </w:t>
            </w:r>
            <w:r w:rsidR="00D43A5E" w:rsidRPr="008048D3">
              <w:rPr>
                <w:rFonts w:ascii="Verdana" w:hAnsi="Verdana"/>
                <w:sz w:val="16"/>
                <w:szCs w:val="16"/>
                <w:lang w:val="lt-LT"/>
              </w:rPr>
              <w:t>3</w:t>
            </w:r>
            <w:r w:rsidR="00036136" w:rsidRPr="008048D3">
              <w:rPr>
                <w:rFonts w:ascii="Verdana" w:hAnsi="Verdana"/>
                <w:sz w:val="16"/>
                <w:szCs w:val="16"/>
                <w:lang w:val="lt-LT"/>
              </w:rPr>
              <w:t>5</w:t>
            </w:r>
            <w:r w:rsidR="00D43A5E" w:rsidRPr="008048D3">
              <w:rPr>
                <w:rFonts w:ascii="Verdana" w:hAnsi="Verdana"/>
                <w:sz w:val="16"/>
                <w:szCs w:val="16"/>
                <w:lang w:val="lt-LT"/>
              </w:rPr>
              <w:t xml:space="preserve"> </w:t>
            </w:r>
            <w:r w:rsidR="00EB41A0" w:rsidRPr="008048D3">
              <w:rPr>
                <w:rFonts w:ascii="Verdana" w:hAnsi="Verdana"/>
                <w:sz w:val="16"/>
                <w:szCs w:val="16"/>
                <w:lang w:val="lt-LT"/>
              </w:rPr>
              <w:t>tūkst.</w:t>
            </w:r>
            <w:r w:rsidR="00D43A5E" w:rsidRPr="008048D3">
              <w:rPr>
                <w:rFonts w:ascii="Verdana" w:hAnsi="Verdana"/>
                <w:sz w:val="16"/>
                <w:szCs w:val="16"/>
                <w:lang w:val="lt-LT"/>
              </w:rPr>
              <w:t xml:space="preserve"> h</w:t>
            </w:r>
            <w:r w:rsidRPr="008048D3">
              <w:rPr>
                <w:rFonts w:ascii="Verdana" w:hAnsi="Verdana"/>
                <w:sz w:val="16"/>
                <w:szCs w:val="16"/>
                <w:lang w:val="lt-LT"/>
              </w:rPr>
              <w:t>a buvo nuomojama</w:t>
            </w:r>
            <w:r w:rsidR="00D43A5E" w:rsidRPr="008048D3">
              <w:rPr>
                <w:rFonts w:ascii="Verdana" w:hAnsi="Verdana"/>
                <w:sz w:val="16"/>
                <w:szCs w:val="16"/>
                <w:lang w:val="lt-LT"/>
              </w:rPr>
              <w:t xml:space="preserve">. </w:t>
            </w:r>
            <w:r w:rsidRPr="008048D3">
              <w:rPr>
                <w:rFonts w:ascii="Verdana" w:hAnsi="Verdana"/>
                <w:sz w:val="16"/>
                <w:szCs w:val="16"/>
                <w:lang w:val="lt-LT"/>
              </w:rPr>
              <w:t>Nuomojami plotai sudaro žymią dalį</w:t>
            </w:r>
            <w:r w:rsidR="00D43A5E" w:rsidRPr="008048D3">
              <w:rPr>
                <w:rFonts w:ascii="Verdana" w:hAnsi="Verdana"/>
                <w:sz w:val="16"/>
                <w:szCs w:val="16"/>
                <w:lang w:val="lt-LT"/>
              </w:rPr>
              <w:t xml:space="preserve">, </w:t>
            </w:r>
            <w:r w:rsidRPr="008048D3">
              <w:rPr>
                <w:rFonts w:ascii="Verdana" w:hAnsi="Verdana"/>
                <w:sz w:val="16"/>
                <w:szCs w:val="16"/>
                <w:lang w:val="lt-LT"/>
              </w:rPr>
              <w:t xml:space="preserve">todėl bet koks Grupės esamus lūkesčius viršijantis žemės nuomos mokesčių padidėjimas galėtų turėti neigiamos įtakos </w:t>
            </w:r>
            <w:r w:rsidR="00D43A5E" w:rsidRPr="008048D3">
              <w:rPr>
                <w:rFonts w:ascii="Verdana" w:hAnsi="Verdana"/>
                <w:sz w:val="16"/>
                <w:szCs w:val="16"/>
                <w:lang w:val="lt-LT"/>
              </w:rPr>
              <w:t>Grup</w:t>
            </w:r>
            <w:r w:rsidRPr="008048D3">
              <w:rPr>
                <w:rFonts w:ascii="Verdana" w:hAnsi="Verdana"/>
                <w:sz w:val="16"/>
                <w:szCs w:val="16"/>
                <w:lang w:val="lt-LT"/>
              </w:rPr>
              <w:t>ė</w:t>
            </w:r>
            <w:r w:rsidR="00D43A5E" w:rsidRPr="008048D3">
              <w:rPr>
                <w:rFonts w:ascii="Verdana" w:hAnsi="Verdana"/>
                <w:sz w:val="16"/>
                <w:szCs w:val="16"/>
                <w:lang w:val="lt-LT"/>
              </w:rPr>
              <w:t xml:space="preserve">s </w:t>
            </w:r>
            <w:r w:rsidR="005C1095" w:rsidRPr="008048D3">
              <w:rPr>
                <w:rFonts w:ascii="Verdana" w:hAnsi="Verdana"/>
                <w:sz w:val="16"/>
                <w:szCs w:val="16"/>
                <w:lang w:val="lt-LT"/>
              </w:rPr>
              <w:t xml:space="preserve">veiklos </w:t>
            </w:r>
            <w:r w:rsidR="00D43A5E" w:rsidRPr="008048D3">
              <w:rPr>
                <w:rFonts w:ascii="Verdana" w:hAnsi="Verdana"/>
                <w:sz w:val="16"/>
                <w:szCs w:val="16"/>
                <w:lang w:val="lt-LT"/>
              </w:rPr>
              <w:t>finan</w:t>
            </w:r>
            <w:r w:rsidRPr="008048D3">
              <w:rPr>
                <w:rFonts w:ascii="Verdana" w:hAnsi="Verdana"/>
                <w:sz w:val="16"/>
                <w:szCs w:val="16"/>
                <w:lang w:val="lt-LT"/>
              </w:rPr>
              <w:t xml:space="preserve">siniams </w:t>
            </w:r>
            <w:r w:rsidR="00D43A5E" w:rsidRPr="008048D3">
              <w:rPr>
                <w:rFonts w:ascii="Verdana" w:hAnsi="Verdana"/>
                <w:sz w:val="16"/>
                <w:szCs w:val="16"/>
                <w:lang w:val="lt-LT"/>
              </w:rPr>
              <w:t>re</w:t>
            </w:r>
            <w:r w:rsidR="005C1095" w:rsidRPr="008048D3">
              <w:rPr>
                <w:rFonts w:ascii="Verdana" w:hAnsi="Verdana"/>
                <w:sz w:val="16"/>
                <w:szCs w:val="16"/>
                <w:lang w:val="lt-LT"/>
              </w:rPr>
              <w:t>z</w:t>
            </w:r>
            <w:r w:rsidR="00D43A5E" w:rsidRPr="008048D3">
              <w:rPr>
                <w:rFonts w:ascii="Verdana" w:hAnsi="Verdana"/>
                <w:sz w:val="16"/>
                <w:szCs w:val="16"/>
                <w:lang w:val="lt-LT"/>
              </w:rPr>
              <w:t>ult</w:t>
            </w:r>
            <w:r w:rsidR="005C1095" w:rsidRPr="008048D3">
              <w:rPr>
                <w:rFonts w:ascii="Verdana" w:hAnsi="Verdana"/>
                <w:sz w:val="16"/>
                <w:szCs w:val="16"/>
                <w:lang w:val="lt-LT"/>
              </w:rPr>
              <w:t>atam ir finansinei padėčiai</w:t>
            </w:r>
            <w:r w:rsidR="00D43A5E" w:rsidRPr="008048D3">
              <w:rPr>
                <w:rFonts w:ascii="Verdana" w:hAnsi="Verdana"/>
                <w:sz w:val="16"/>
                <w:szCs w:val="16"/>
                <w:lang w:val="lt-LT"/>
              </w:rPr>
              <w:t>.</w:t>
            </w:r>
          </w:p>
          <w:p w14:paraId="11797614" w14:textId="77777777" w:rsidR="00D43A5E" w:rsidRPr="008048D3" w:rsidRDefault="00D43A5E" w:rsidP="00D43A5E">
            <w:pPr>
              <w:ind w:right="-32"/>
              <w:jc w:val="both"/>
              <w:rPr>
                <w:rFonts w:ascii="Verdana" w:hAnsi="Verdana"/>
                <w:sz w:val="16"/>
                <w:szCs w:val="16"/>
                <w:lang w:val="lt-LT"/>
              </w:rPr>
            </w:pPr>
          </w:p>
          <w:p w14:paraId="75364AE6" w14:textId="7AD15327" w:rsidR="00D43A5E" w:rsidRPr="008048D3" w:rsidRDefault="00333BDD" w:rsidP="00D43A5E">
            <w:pPr>
              <w:pStyle w:val="KLGIPOBody"/>
              <w:spacing w:before="0" w:after="0" w:line="240" w:lineRule="auto"/>
              <w:rPr>
                <w:rFonts w:ascii="Verdana" w:hAnsi="Verdana"/>
                <w:sz w:val="16"/>
                <w:szCs w:val="16"/>
                <w:lang w:val="lt-LT"/>
              </w:rPr>
            </w:pPr>
            <w:r w:rsidRPr="008048D3">
              <w:rPr>
                <w:rFonts w:ascii="Verdana" w:hAnsi="Verdana"/>
                <w:b/>
                <w:sz w:val="16"/>
                <w:szCs w:val="16"/>
                <w:lang w:val="lt-LT"/>
              </w:rPr>
              <w:t>Tam tikros nuomos sutartys gali būti nutrauktos be Grupės įmonių kaltės</w:t>
            </w:r>
            <w:r w:rsidR="00D43A5E" w:rsidRPr="008048D3">
              <w:rPr>
                <w:rFonts w:ascii="Verdana" w:hAnsi="Verdana"/>
                <w:b/>
                <w:sz w:val="16"/>
                <w:szCs w:val="16"/>
                <w:lang w:val="lt-LT"/>
              </w:rPr>
              <w:t xml:space="preserve">. </w:t>
            </w:r>
            <w:r w:rsidRPr="008048D3">
              <w:rPr>
                <w:rFonts w:ascii="Verdana" w:hAnsi="Verdana"/>
                <w:sz w:val="16"/>
                <w:szCs w:val="16"/>
                <w:lang w:val="lt-LT"/>
              </w:rPr>
              <w:t xml:space="preserve">Tam tikros Grupės įmonių sudarytos nuomos sutartys suteikia nuomotojui teisę nutraukti sutartį ne dėl nuomininko kaltės </w:t>
            </w:r>
            <w:r w:rsidR="00D43A5E" w:rsidRPr="008048D3">
              <w:rPr>
                <w:rFonts w:ascii="Verdana" w:hAnsi="Verdana"/>
                <w:sz w:val="16"/>
                <w:szCs w:val="16"/>
                <w:lang w:val="lt-LT"/>
              </w:rPr>
              <w:t>(</w:t>
            </w:r>
            <w:r w:rsidRPr="008048D3">
              <w:rPr>
                <w:rFonts w:ascii="Verdana" w:hAnsi="Verdana"/>
                <w:sz w:val="16"/>
                <w:szCs w:val="16"/>
                <w:lang w:val="lt-LT"/>
              </w:rPr>
              <w:t>pvz</w:t>
            </w:r>
            <w:r w:rsidR="00D43A5E" w:rsidRPr="008048D3">
              <w:rPr>
                <w:rFonts w:ascii="Verdana" w:hAnsi="Verdana"/>
                <w:sz w:val="16"/>
                <w:szCs w:val="16"/>
                <w:lang w:val="lt-LT"/>
              </w:rPr>
              <w:t>.</w:t>
            </w:r>
            <w:r w:rsidRPr="008048D3">
              <w:rPr>
                <w:rFonts w:ascii="Verdana" w:hAnsi="Verdana"/>
                <w:sz w:val="16"/>
                <w:szCs w:val="16"/>
                <w:lang w:val="lt-LT"/>
              </w:rPr>
              <w:t>, je</w:t>
            </w:r>
            <w:r w:rsidR="00562CD0" w:rsidRPr="008048D3">
              <w:rPr>
                <w:rFonts w:ascii="Verdana" w:hAnsi="Verdana"/>
                <w:sz w:val="16"/>
                <w:szCs w:val="16"/>
                <w:lang w:val="lt-LT"/>
              </w:rPr>
              <w:t>i</w:t>
            </w:r>
            <w:r w:rsidRPr="008048D3">
              <w:rPr>
                <w:rFonts w:ascii="Verdana" w:hAnsi="Verdana"/>
                <w:sz w:val="16"/>
                <w:szCs w:val="16"/>
                <w:lang w:val="lt-LT"/>
              </w:rPr>
              <w:t xml:space="preserve"> nuomotojo k</w:t>
            </w:r>
            <w:r w:rsidR="00D43A5E" w:rsidRPr="008048D3">
              <w:rPr>
                <w:rFonts w:ascii="Verdana" w:hAnsi="Verdana"/>
                <w:sz w:val="16"/>
                <w:szCs w:val="16"/>
                <w:lang w:val="lt-LT"/>
              </w:rPr>
              <w:t>reditor</w:t>
            </w:r>
            <w:r w:rsidRPr="008048D3">
              <w:rPr>
                <w:rFonts w:ascii="Verdana" w:hAnsi="Verdana"/>
                <w:sz w:val="16"/>
                <w:szCs w:val="16"/>
                <w:lang w:val="lt-LT"/>
              </w:rPr>
              <w:t>ius pradeda išieškojimą iš nuomojamos žemės</w:t>
            </w:r>
            <w:r w:rsidR="00D43A5E" w:rsidRPr="008048D3">
              <w:rPr>
                <w:rFonts w:ascii="Verdana" w:hAnsi="Verdana"/>
                <w:sz w:val="16"/>
                <w:szCs w:val="16"/>
                <w:lang w:val="lt-LT"/>
              </w:rPr>
              <w:t xml:space="preserve">, </w:t>
            </w:r>
            <w:r w:rsidRPr="008048D3">
              <w:rPr>
                <w:rFonts w:ascii="Verdana" w:hAnsi="Verdana"/>
                <w:sz w:val="16"/>
                <w:szCs w:val="16"/>
                <w:lang w:val="lt-LT"/>
              </w:rPr>
              <w:t>nepavyksta pasiekti metinio susitarimo dėl nuomos mokesčio dydžio ir kt</w:t>
            </w:r>
            <w:r w:rsidR="00D43A5E" w:rsidRPr="008048D3">
              <w:rPr>
                <w:rFonts w:ascii="Verdana" w:hAnsi="Verdana"/>
                <w:sz w:val="16"/>
                <w:szCs w:val="16"/>
                <w:lang w:val="lt-LT"/>
              </w:rPr>
              <w:t>.). T</w:t>
            </w:r>
            <w:r w:rsidRPr="008048D3">
              <w:rPr>
                <w:rFonts w:ascii="Verdana" w:hAnsi="Verdana"/>
                <w:sz w:val="16"/>
                <w:szCs w:val="16"/>
                <w:lang w:val="lt-LT"/>
              </w:rPr>
              <w:t xml:space="preserve">ai gali </w:t>
            </w:r>
            <w:r w:rsidR="000005FD" w:rsidRPr="008048D3">
              <w:rPr>
                <w:rFonts w:ascii="Verdana" w:hAnsi="Verdana"/>
                <w:sz w:val="16"/>
                <w:szCs w:val="16"/>
                <w:lang w:val="lt-LT"/>
              </w:rPr>
              <w:t>paveikti</w:t>
            </w:r>
            <w:r w:rsidRPr="008048D3">
              <w:rPr>
                <w:rFonts w:ascii="Verdana" w:hAnsi="Verdana"/>
                <w:sz w:val="16"/>
                <w:szCs w:val="16"/>
                <w:lang w:val="lt-LT"/>
              </w:rPr>
              <w:t xml:space="preserve"> maždaug </w:t>
            </w:r>
            <w:r w:rsidR="00D43A5E" w:rsidRPr="008048D3">
              <w:rPr>
                <w:rFonts w:ascii="Verdana" w:hAnsi="Verdana"/>
                <w:sz w:val="16"/>
                <w:szCs w:val="16"/>
                <w:lang w:val="lt-LT"/>
              </w:rPr>
              <w:t xml:space="preserve">16% </w:t>
            </w:r>
            <w:r w:rsidRPr="008048D3">
              <w:rPr>
                <w:rFonts w:ascii="Verdana" w:hAnsi="Verdana"/>
                <w:sz w:val="16"/>
                <w:szCs w:val="16"/>
                <w:lang w:val="lt-LT"/>
              </w:rPr>
              <w:t>viso nuomojamo ploto</w:t>
            </w:r>
            <w:r w:rsidR="00D43A5E" w:rsidRPr="008048D3">
              <w:rPr>
                <w:rFonts w:ascii="Verdana" w:hAnsi="Verdana"/>
                <w:sz w:val="16"/>
                <w:szCs w:val="16"/>
                <w:lang w:val="lt-LT"/>
              </w:rPr>
              <w:t xml:space="preserve">. </w:t>
            </w:r>
          </w:p>
          <w:p w14:paraId="3EE44321" w14:textId="77777777" w:rsidR="00D43A5E" w:rsidRPr="008048D3" w:rsidRDefault="00D43A5E" w:rsidP="00D43A5E">
            <w:pPr>
              <w:pStyle w:val="KLGIPOBody"/>
              <w:spacing w:before="0" w:after="0" w:line="240" w:lineRule="auto"/>
              <w:rPr>
                <w:rFonts w:ascii="Verdana" w:hAnsi="Verdana"/>
                <w:b/>
                <w:sz w:val="16"/>
                <w:szCs w:val="16"/>
                <w:lang w:val="lt-LT"/>
              </w:rPr>
            </w:pPr>
          </w:p>
          <w:p w14:paraId="6B374988" w14:textId="17AD5F35" w:rsidR="00D43A5E" w:rsidRPr="008048D3" w:rsidRDefault="00D43A5E" w:rsidP="00D43A5E">
            <w:pPr>
              <w:pStyle w:val="KLGIPOBody"/>
              <w:spacing w:before="0" w:after="0" w:line="240" w:lineRule="auto"/>
              <w:rPr>
                <w:rFonts w:ascii="Verdana" w:hAnsi="Verdana"/>
                <w:sz w:val="16"/>
                <w:szCs w:val="16"/>
                <w:lang w:val="lt-LT"/>
              </w:rPr>
            </w:pPr>
            <w:r w:rsidRPr="008048D3">
              <w:rPr>
                <w:rFonts w:ascii="Verdana" w:hAnsi="Verdana"/>
                <w:b/>
                <w:sz w:val="16"/>
                <w:szCs w:val="16"/>
                <w:lang w:val="lt-LT"/>
              </w:rPr>
              <w:t>Grup</w:t>
            </w:r>
            <w:r w:rsidR="00B849E8" w:rsidRPr="008048D3">
              <w:rPr>
                <w:rFonts w:ascii="Verdana" w:hAnsi="Verdana"/>
                <w:b/>
                <w:sz w:val="16"/>
                <w:szCs w:val="16"/>
                <w:lang w:val="lt-LT"/>
              </w:rPr>
              <w:t>ės įmonės yra uždelsusios mokėjimus savo tiekėjams</w:t>
            </w:r>
            <w:r w:rsidRPr="008048D3">
              <w:rPr>
                <w:rFonts w:ascii="Verdana" w:hAnsi="Verdana"/>
                <w:b/>
                <w:sz w:val="16"/>
                <w:szCs w:val="16"/>
                <w:lang w:val="lt-LT"/>
              </w:rPr>
              <w:t>.</w:t>
            </w:r>
            <w:r w:rsidRPr="008048D3">
              <w:rPr>
                <w:rFonts w:ascii="Verdana" w:hAnsi="Verdana"/>
                <w:sz w:val="16"/>
                <w:szCs w:val="16"/>
                <w:lang w:val="lt-LT"/>
              </w:rPr>
              <w:t xml:space="preserve"> </w:t>
            </w:r>
            <w:r w:rsidR="00B849E8" w:rsidRPr="008048D3">
              <w:rPr>
                <w:rFonts w:ascii="Verdana" w:hAnsi="Verdana"/>
                <w:sz w:val="16"/>
                <w:szCs w:val="16"/>
                <w:lang w:val="lt-LT"/>
              </w:rPr>
              <w:t xml:space="preserve">2017 m. gruodžio 31 d. Grupės įmonių uždelsti mokėjimai savo tiekėjams iš viso sudarė </w:t>
            </w:r>
            <w:r w:rsidRPr="008048D3">
              <w:rPr>
                <w:rFonts w:ascii="Verdana" w:hAnsi="Verdana"/>
                <w:sz w:val="16"/>
                <w:szCs w:val="16"/>
                <w:lang w:val="lt-LT"/>
              </w:rPr>
              <w:t>1</w:t>
            </w:r>
            <w:r w:rsidR="00B849E8" w:rsidRPr="008048D3">
              <w:rPr>
                <w:rFonts w:ascii="Verdana" w:hAnsi="Verdana"/>
                <w:sz w:val="16"/>
                <w:szCs w:val="16"/>
                <w:lang w:val="lt-LT"/>
              </w:rPr>
              <w:t>,</w:t>
            </w:r>
            <w:r w:rsidRPr="008048D3">
              <w:rPr>
                <w:rFonts w:ascii="Verdana" w:hAnsi="Verdana"/>
                <w:sz w:val="16"/>
                <w:szCs w:val="16"/>
                <w:lang w:val="lt-LT"/>
              </w:rPr>
              <w:t xml:space="preserve">7 </w:t>
            </w:r>
            <w:r w:rsidR="00360BDB" w:rsidRPr="008048D3">
              <w:rPr>
                <w:rFonts w:ascii="Verdana" w:hAnsi="Verdana"/>
                <w:sz w:val="16"/>
                <w:szCs w:val="16"/>
                <w:lang w:val="lt-LT"/>
              </w:rPr>
              <w:t>mln.</w:t>
            </w:r>
            <w:r w:rsidRPr="008048D3">
              <w:rPr>
                <w:rFonts w:ascii="Verdana" w:hAnsi="Verdana"/>
                <w:sz w:val="16"/>
                <w:szCs w:val="16"/>
                <w:lang w:val="lt-LT"/>
              </w:rPr>
              <w:t xml:space="preserve"> </w:t>
            </w:r>
            <w:r w:rsidR="00B849E8" w:rsidRPr="008048D3">
              <w:rPr>
                <w:rFonts w:ascii="Verdana" w:hAnsi="Verdana"/>
                <w:sz w:val="16"/>
                <w:szCs w:val="16"/>
                <w:lang w:val="lt-LT"/>
              </w:rPr>
              <w:t>EUR</w:t>
            </w:r>
            <w:r w:rsidRPr="008048D3">
              <w:rPr>
                <w:rFonts w:ascii="Verdana" w:hAnsi="Verdana"/>
                <w:sz w:val="16"/>
                <w:szCs w:val="16"/>
                <w:lang w:val="lt-LT"/>
              </w:rPr>
              <w:t>.</w:t>
            </w:r>
            <w:r w:rsidR="00305FFC" w:rsidRPr="008048D3">
              <w:rPr>
                <w:rFonts w:ascii="Verdana" w:hAnsi="Verdana"/>
                <w:sz w:val="16"/>
                <w:szCs w:val="16"/>
                <w:lang w:val="lt-LT"/>
              </w:rPr>
              <w:t xml:space="preserve"> </w:t>
            </w:r>
            <w:r w:rsidR="00B849E8" w:rsidRPr="008048D3">
              <w:rPr>
                <w:rFonts w:ascii="Verdana" w:hAnsi="Verdana"/>
                <w:sz w:val="16"/>
                <w:szCs w:val="16"/>
                <w:lang w:val="lt-LT"/>
              </w:rPr>
              <w:t>Šio Prospekto sudarymo dieną Grupės įmonės nėra gavusios jokių pretenzijų arba reikalavimų sumokėti netesybas dėl tokių pavėluotų mokėjimų</w:t>
            </w:r>
            <w:r w:rsidRPr="008048D3">
              <w:rPr>
                <w:rFonts w:ascii="Verdana" w:hAnsi="Verdana"/>
                <w:sz w:val="16"/>
                <w:szCs w:val="16"/>
                <w:lang w:val="lt-LT"/>
              </w:rPr>
              <w:t>. Grup</w:t>
            </w:r>
            <w:r w:rsidR="00B849E8" w:rsidRPr="008048D3">
              <w:rPr>
                <w:rFonts w:ascii="Verdana" w:hAnsi="Verdana"/>
                <w:sz w:val="16"/>
                <w:szCs w:val="16"/>
                <w:lang w:val="lt-LT"/>
              </w:rPr>
              <w:t>ės</w:t>
            </w:r>
            <w:r w:rsidRPr="008048D3">
              <w:rPr>
                <w:rFonts w:ascii="Verdana" w:hAnsi="Verdana"/>
                <w:sz w:val="16"/>
                <w:szCs w:val="16"/>
                <w:lang w:val="lt-LT"/>
              </w:rPr>
              <w:t xml:space="preserve"> </w:t>
            </w:r>
            <w:r w:rsidR="00B849E8" w:rsidRPr="008048D3">
              <w:rPr>
                <w:rFonts w:ascii="Verdana" w:hAnsi="Verdana"/>
                <w:sz w:val="16"/>
                <w:szCs w:val="16"/>
                <w:lang w:val="lt-LT"/>
              </w:rPr>
              <w:t xml:space="preserve">įmonės taip pat nuolat dirba </w:t>
            </w:r>
            <w:r w:rsidR="00391CB3" w:rsidRPr="008048D3">
              <w:rPr>
                <w:rFonts w:ascii="Verdana" w:hAnsi="Verdana"/>
                <w:sz w:val="16"/>
                <w:szCs w:val="16"/>
                <w:lang w:val="lt-LT"/>
              </w:rPr>
              <w:t>stengdamosi susitarti dėl atsiskaitymo sąlygų, kad kaip labiau sumažint</w:t>
            </w:r>
            <w:r w:rsidR="005F7717" w:rsidRPr="008048D3">
              <w:rPr>
                <w:rFonts w:ascii="Verdana" w:hAnsi="Verdana"/>
                <w:sz w:val="16"/>
                <w:szCs w:val="16"/>
                <w:lang w:val="lt-LT"/>
              </w:rPr>
              <w:t>ų</w:t>
            </w:r>
            <w:r w:rsidR="00391CB3" w:rsidRPr="008048D3">
              <w:rPr>
                <w:rFonts w:ascii="Verdana" w:hAnsi="Verdana"/>
                <w:sz w:val="16"/>
                <w:szCs w:val="16"/>
                <w:lang w:val="lt-LT"/>
              </w:rPr>
              <w:t xml:space="preserve"> minėtą riziką</w:t>
            </w:r>
            <w:r w:rsidRPr="008048D3">
              <w:rPr>
                <w:rFonts w:ascii="Verdana" w:hAnsi="Verdana"/>
                <w:sz w:val="16"/>
                <w:szCs w:val="16"/>
                <w:lang w:val="lt-LT"/>
              </w:rPr>
              <w:t>.</w:t>
            </w:r>
          </w:p>
          <w:p w14:paraId="430CCE55" w14:textId="77777777" w:rsidR="00D43A5E" w:rsidRPr="008048D3" w:rsidRDefault="00D43A5E" w:rsidP="00D43A5E">
            <w:pPr>
              <w:ind w:right="-32"/>
              <w:jc w:val="both"/>
              <w:rPr>
                <w:rFonts w:ascii="Verdana" w:hAnsi="Verdana"/>
                <w:sz w:val="16"/>
                <w:szCs w:val="16"/>
                <w:lang w:val="lt-LT"/>
              </w:rPr>
            </w:pPr>
          </w:p>
          <w:p w14:paraId="3EB1AD04" w14:textId="4B700943" w:rsidR="00D43A5E" w:rsidRPr="008048D3" w:rsidRDefault="00DA75E7" w:rsidP="00D43A5E">
            <w:pPr>
              <w:jc w:val="both"/>
              <w:rPr>
                <w:rFonts w:ascii="Verdana" w:hAnsi="Verdana" w:cs="Arial"/>
                <w:sz w:val="16"/>
                <w:szCs w:val="16"/>
                <w:lang w:val="lt-LT"/>
              </w:rPr>
            </w:pPr>
            <w:r w:rsidRPr="008048D3">
              <w:rPr>
                <w:rFonts w:ascii="Verdana" w:hAnsi="Verdana" w:cs="Arial"/>
                <w:b/>
                <w:sz w:val="16"/>
                <w:szCs w:val="16"/>
                <w:lang w:val="lt-LT"/>
              </w:rPr>
              <w:t>Grupės įmonės susijusios viena su kita plačiais komerciniais ryšiais, kas gali turėti neigiamų mokestinių pasekmių</w:t>
            </w:r>
            <w:r w:rsidR="00D43A5E" w:rsidRPr="008048D3">
              <w:rPr>
                <w:rFonts w:ascii="Verdana" w:hAnsi="Verdana" w:cs="Arial"/>
                <w:b/>
                <w:sz w:val="16"/>
                <w:szCs w:val="16"/>
                <w:lang w:val="lt-LT"/>
              </w:rPr>
              <w:t xml:space="preserve">. </w:t>
            </w:r>
            <w:r w:rsidRPr="008048D3">
              <w:rPr>
                <w:rFonts w:ascii="Verdana" w:hAnsi="Verdana"/>
                <w:sz w:val="16"/>
                <w:szCs w:val="16"/>
                <w:lang w:val="lt-LT"/>
              </w:rPr>
              <w:t>Grupės įmonės turi daug reikalų / sandorių viena su kita</w:t>
            </w:r>
            <w:r w:rsidR="004B29BF" w:rsidRPr="008048D3">
              <w:rPr>
                <w:rFonts w:ascii="Verdana" w:hAnsi="Verdana" w:cs="Arial"/>
                <w:sz w:val="16"/>
                <w:szCs w:val="16"/>
                <w:lang w:val="lt-LT"/>
              </w:rPr>
              <w:t xml:space="preserve">. </w:t>
            </w:r>
            <w:r w:rsidRPr="008048D3">
              <w:rPr>
                <w:rFonts w:ascii="Verdana" w:hAnsi="Verdana" w:cs="Arial"/>
                <w:sz w:val="16"/>
                <w:szCs w:val="16"/>
                <w:lang w:val="lt-LT"/>
              </w:rPr>
              <w:t>Pagal taikomus mokesčių įstatymus</w:t>
            </w:r>
            <w:r w:rsidR="00D43A5E" w:rsidRPr="008048D3">
              <w:rPr>
                <w:rFonts w:ascii="Verdana" w:hAnsi="Verdana" w:cs="Arial"/>
                <w:sz w:val="16"/>
                <w:szCs w:val="16"/>
                <w:lang w:val="lt-LT"/>
              </w:rPr>
              <w:t xml:space="preserve">, </w:t>
            </w:r>
            <w:r w:rsidRPr="008048D3">
              <w:rPr>
                <w:rFonts w:ascii="Verdana" w:hAnsi="Verdana" w:cs="Arial"/>
                <w:sz w:val="16"/>
                <w:szCs w:val="16"/>
                <w:lang w:val="lt-LT"/>
              </w:rPr>
              <w:t>sandoriai tarp susijusių šalių turi būti sudaromi rinkos sąlygomis</w:t>
            </w:r>
            <w:r w:rsidR="00D43A5E" w:rsidRPr="008048D3">
              <w:rPr>
                <w:rFonts w:ascii="Verdana" w:hAnsi="Verdana" w:cs="Arial"/>
                <w:sz w:val="16"/>
                <w:szCs w:val="16"/>
                <w:lang w:val="lt-LT"/>
              </w:rPr>
              <w:t xml:space="preserve">. </w:t>
            </w:r>
            <w:r w:rsidR="000005FD" w:rsidRPr="008048D3">
              <w:rPr>
                <w:rFonts w:ascii="Verdana" w:hAnsi="Verdana" w:cs="Arial"/>
                <w:sz w:val="16"/>
                <w:szCs w:val="16"/>
                <w:lang w:val="lt-LT"/>
              </w:rPr>
              <w:t xml:space="preserve">2014 </w:t>
            </w:r>
            <w:r w:rsidRPr="008048D3">
              <w:rPr>
                <w:rFonts w:ascii="Verdana" w:hAnsi="Verdana" w:cs="Arial"/>
                <w:sz w:val="16"/>
                <w:szCs w:val="16"/>
                <w:lang w:val="lt-LT"/>
              </w:rPr>
              <w:t xml:space="preserve">metais </w:t>
            </w:r>
            <w:r w:rsidR="00D43A5E" w:rsidRPr="008048D3">
              <w:rPr>
                <w:rFonts w:ascii="Verdana" w:hAnsi="Verdana" w:cs="Arial"/>
                <w:sz w:val="16"/>
                <w:szCs w:val="16"/>
                <w:lang w:val="lt-LT"/>
              </w:rPr>
              <w:t>Gr</w:t>
            </w:r>
            <w:r w:rsidRPr="008048D3">
              <w:rPr>
                <w:rFonts w:ascii="Verdana" w:hAnsi="Verdana" w:cs="Arial"/>
                <w:sz w:val="16"/>
                <w:szCs w:val="16"/>
                <w:lang w:val="lt-LT"/>
              </w:rPr>
              <w:t>u</w:t>
            </w:r>
            <w:r w:rsidR="00D43A5E" w:rsidRPr="008048D3">
              <w:rPr>
                <w:rFonts w:ascii="Verdana" w:hAnsi="Verdana" w:cs="Arial"/>
                <w:sz w:val="16"/>
                <w:szCs w:val="16"/>
                <w:lang w:val="lt-LT"/>
              </w:rPr>
              <w:t>p</w:t>
            </w:r>
            <w:r w:rsidRPr="008048D3">
              <w:rPr>
                <w:rFonts w:ascii="Verdana" w:hAnsi="Verdana" w:cs="Arial"/>
                <w:sz w:val="16"/>
                <w:szCs w:val="16"/>
                <w:lang w:val="lt-LT"/>
              </w:rPr>
              <w:t>ės</w:t>
            </w:r>
            <w:r w:rsidR="00D43A5E" w:rsidRPr="008048D3">
              <w:rPr>
                <w:rFonts w:ascii="Verdana" w:hAnsi="Verdana" w:cs="Arial"/>
                <w:sz w:val="16"/>
                <w:szCs w:val="16"/>
                <w:lang w:val="lt-LT"/>
              </w:rPr>
              <w:t xml:space="preserve"> </w:t>
            </w:r>
            <w:r w:rsidRPr="008048D3">
              <w:rPr>
                <w:rFonts w:ascii="Verdana" w:hAnsi="Verdana" w:cs="Arial"/>
                <w:sz w:val="16"/>
                <w:szCs w:val="16"/>
                <w:lang w:val="lt-LT"/>
              </w:rPr>
              <w:t>įmonės parengė sandorių kainodaros dokumentus būsimiems laikotarpiams dėl valdymo mokesčių</w:t>
            </w:r>
            <w:r w:rsidR="00D43A5E" w:rsidRPr="008048D3">
              <w:rPr>
                <w:rFonts w:ascii="Verdana" w:hAnsi="Verdana" w:cs="Arial"/>
                <w:sz w:val="16"/>
                <w:szCs w:val="16"/>
                <w:lang w:val="lt-LT"/>
              </w:rPr>
              <w:t xml:space="preserve">, </w:t>
            </w:r>
            <w:r w:rsidRPr="008048D3">
              <w:rPr>
                <w:rFonts w:ascii="Verdana" w:hAnsi="Verdana" w:cs="Arial"/>
                <w:sz w:val="16"/>
                <w:szCs w:val="16"/>
                <w:lang w:val="lt-LT"/>
              </w:rPr>
              <w:t>prekių ženklų licencijavimo ir paskolų Grupės viduje</w:t>
            </w:r>
            <w:r w:rsidR="00D43A5E" w:rsidRPr="008048D3">
              <w:rPr>
                <w:rFonts w:ascii="Verdana" w:hAnsi="Verdana" w:cs="Arial"/>
                <w:sz w:val="16"/>
                <w:szCs w:val="16"/>
                <w:lang w:val="lt-LT"/>
              </w:rPr>
              <w:t xml:space="preserve">. </w:t>
            </w:r>
            <w:r w:rsidRPr="008048D3">
              <w:rPr>
                <w:rFonts w:ascii="Verdana" w:hAnsi="Verdana" w:cs="Arial"/>
                <w:sz w:val="16"/>
                <w:szCs w:val="16"/>
                <w:lang w:val="lt-LT"/>
              </w:rPr>
              <w:t>Tačiau minėti dokumentai neapima ankstesnių laikotarpių ar kitų sandorių</w:t>
            </w:r>
            <w:r w:rsidR="00D43A5E" w:rsidRPr="008048D3">
              <w:rPr>
                <w:rFonts w:ascii="Verdana" w:hAnsi="Verdana" w:cs="Arial"/>
                <w:sz w:val="16"/>
                <w:szCs w:val="16"/>
                <w:lang w:val="lt-LT"/>
              </w:rPr>
              <w:t>.</w:t>
            </w:r>
          </w:p>
          <w:p w14:paraId="2123D51B" w14:textId="77777777" w:rsidR="00D43A5E" w:rsidRPr="008048D3" w:rsidRDefault="00D43A5E" w:rsidP="00D43A5E">
            <w:pPr>
              <w:jc w:val="both"/>
              <w:rPr>
                <w:rFonts w:ascii="Verdana" w:hAnsi="Verdana" w:cs="Arial"/>
                <w:sz w:val="16"/>
                <w:szCs w:val="16"/>
                <w:lang w:val="lt-LT"/>
              </w:rPr>
            </w:pPr>
          </w:p>
          <w:p w14:paraId="76B3254D" w14:textId="48AE442A" w:rsidR="00D43A5E" w:rsidRPr="008048D3" w:rsidRDefault="00D43A5E" w:rsidP="00D43A5E">
            <w:pPr>
              <w:pStyle w:val="KLGIPOBody"/>
              <w:spacing w:before="0" w:after="0" w:line="240" w:lineRule="auto"/>
              <w:rPr>
                <w:rFonts w:ascii="Verdana" w:hAnsi="Verdana"/>
                <w:sz w:val="16"/>
                <w:szCs w:val="16"/>
                <w:lang w:val="lt-LT"/>
              </w:rPr>
            </w:pPr>
            <w:r w:rsidRPr="008048D3">
              <w:rPr>
                <w:rFonts w:ascii="Verdana" w:hAnsi="Verdana"/>
                <w:b/>
                <w:sz w:val="16"/>
                <w:szCs w:val="16"/>
                <w:lang w:val="lt-LT"/>
              </w:rPr>
              <w:t>Grup</w:t>
            </w:r>
            <w:r w:rsidR="006C3B37" w:rsidRPr="008048D3">
              <w:rPr>
                <w:rFonts w:ascii="Verdana" w:hAnsi="Verdana"/>
                <w:b/>
                <w:sz w:val="16"/>
                <w:szCs w:val="16"/>
                <w:lang w:val="lt-LT"/>
              </w:rPr>
              <w:t>ės įmonės gali būti tikrinamos dėl žemės ūkio paskirties žemės įsigijimo ir turėjimo</w:t>
            </w:r>
            <w:r w:rsidRPr="008048D3">
              <w:rPr>
                <w:rFonts w:ascii="Verdana" w:hAnsi="Verdana"/>
                <w:b/>
                <w:sz w:val="16"/>
                <w:szCs w:val="16"/>
                <w:lang w:val="lt-LT"/>
              </w:rPr>
              <w:t>.</w:t>
            </w:r>
            <w:r w:rsidRPr="008048D3">
              <w:rPr>
                <w:rFonts w:ascii="Verdana" w:hAnsi="Verdana"/>
                <w:sz w:val="16"/>
                <w:szCs w:val="16"/>
                <w:lang w:val="lt-LT"/>
              </w:rPr>
              <w:t xml:space="preserve"> Grup</w:t>
            </w:r>
            <w:r w:rsidR="006C3B37" w:rsidRPr="008048D3">
              <w:rPr>
                <w:rFonts w:ascii="Verdana" w:hAnsi="Verdana"/>
                <w:sz w:val="16"/>
                <w:szCs w:val="16"/>
                <w:lang w:val="lt-LT"/>
              </w:rPr>
              <w:t xml:space="preserve">ės įmonėms nuosavybės teise priklauso daugiau kaip </w:t>
            </w:r>
            <w:r w:rsidRPr="008048D3">
              <w:rPr>
                <w:rFonts w:ascii="Verdana" w:hAnsi="Verdana"/>
                <w:sz w:val="16"/>
                <w:szCs w:val="16"/>
                <w:lang w:val="lt-LT"/>
              </w:rPr>
              <w:t xml:space="preserve">3 </w:t>
            </w:r>
            <w:r w:rsidR="00EB41A0" w:rsidRPr="008048D3">
              <w:rPr>
                <w:rFonts w:ascii="Verdana" w:hAnsi="Verdana"/>
                <w:sz w:val="16"/>
                <w:szCs w:val="16"/>
                <w:lang w:val="lt-LT"/>
              </w:rPr>
              <w:t>tūkst.</w:t>
            </w:r>
            <w:r w:rsidRPr="008048D3">
              <w:rPr>
                <w:rFonts w:ascii="Verdana" w:hAnsi="Verdana"/>
                <w:sz w:val="16"/>
                <w:szCs w:val="16"/>
                <w:lang w:val="lt-LT"/>
              </w:rPr>
              <w:t xml:space="preserve"> ha </w:t>
            </w:r>
            <w:r w:rsidR="006C3B37" w:rsidRPr="008048D3">
              <w:rPr>
                <w:rFonts w:ascii="Verdana" w:hAnsi="Verdana"/>
                <w:sz w:val="16"/>
                <w:szCs w:val="16"/>
                <w:lang w:val="lt-LT"/>
              </w:rPr>
              <w:t>žemės ūkio paskirties žemės</w:t>
            </w:r>
            <w:r w:rsidRPr="008048D3">
              <w:rPr>
                <w:rFonts w:ascii="Verdana" w:hAnsi="Verdana"/>
                <w:sz w:val="16"/>
                <w:szCs w:val="16"/>
                <w:lang w:val="lt-LT"/>
              </w:rPr>
              <w:t xml:space="preserve">. </w:t>
            </w:r>
            <w:r w:rsidR="006C3B37" w:rsidRPr="008048D3">
              <w:rPr>
                <w:rFonts w:ascii="Verdana" w:hAnsi="Verdana"/>
                <w:sz w:val="16"/>
                <w:szCs w:val="16"/>
                <w:lang w:val="lt-LT"/>
              </w:rPr>
              <w:t xml:space="preserve">Lietuvos Respublikos žemės ūkio paskirties žemės įsigijimo įstatymas </w:t>
            </w:r>
            <w:r w:rsidRPr="008048D3">
              <w:rPr>
                <w:rFonts w:ascii="Verdana" w:hAnsi="Verdana"/>
                <w:sz w:val="16"/>
                <w:szCs w:val="16"/>
                <w:lang w:val="lt-LT"/>
              </w:rPr>
              <w:t>(</w:t>
            </w:r>
            <w:r w:rsidR="006C3B37" w:rsidRPr="008048D3">
              <w:rPr>
                <w:rFonts w:ascii="Verdana" w:hAnsi="Verdana"/>
                <w:sz w:val="16"/>
                <w:szCs w:val="16"/>
                <w:lang w:val="lt-LT"/>
              </w:rPr>
              <w:t>nuo 2017 m. sausio 1 d. galiojanti redakcija</w:t>
            </w:r>
            <w:r w:rsidRPr="008048D3">
              <w:rPr>
                <w:rFonts w:ascii="Verdana" w:hAnsi="Verdana"/>
                <w:sz w:val="16"/>
                <w:szCs w:val="16"/>
                <w:lang w:val="lt-LT"/>
              </w:rPr>
              <w:t xml:space="preserve">) </w:t>
            </w:r>
            <w:r w:rsidR="006C3B37" w:rsidRPr="008048D3">
              <w:rPr>
                <w:rFonts w:ascii="Verdana" w:hAnsi="Verdana"/>
                <w:sz w:val="16"/>
                <w:szCs w:val="16"/>
                <w:lang w:val="lt-LT"/>
              </w:rPr>
              <w:t xml:space="preserve">nurodo, kad maksimalus žemės ūkio paskirties žemės plotas, kurį savo nuosavybėn gali įsigyti vienas asmuo arba grupė susijusių asmenų, yra </w:t>
            </w:r>
            <w:r w:rsidRPr="008048D3">
              <w:rPr>
                <w:rFonts w:ascii="Verdana" w:hAnsi="Verdana"/>
                <w:sz w:val="16"/>
                <w:szCs w:val="16"/>
                <w:lang w:val="lt-LT"/>
              </w:rPr>
              <w:t xml:space="preserve">500 ha. </w:t>
            </w:r>
            <w:r w:rsidR="006C3B37" w:rsidRPr="008048D3">
              <w:rPr>
                <w:rFonts w:ascii="Verdana" w:hAnsi="Verdana"/>
                <w:sz w:val="16"/>
                <w:szCs w:val="16"/>
                <w:lang w:val="lt-LT"/>
              </w:rPr>
              <w:t xml:space="preserve">Tačiau tokia riba gali būti viršijama, jei tokia papildoma žemės ūkio paskirties žemė įsigyjama gyvulininkystei </w:t>
            </w:r>
            <w:r w:rsidRPr="008048D3">
              <w:rPr>
                <w:rFonts w:ascii="Verdana" w:hAnsi="Verdana"/>
                <w:sz w:val="16"/>
                <w:szCs w:val="16"/>
                <w:lang w:val="lt-LT"/>
              </w:rPr>
              <w:t>(b</w:t>
            </w:r>
            <w:r w:rsidR="006C3B37" w:rsidRPr="008048D3">
              <w:rPr>
                <w:rFonts w:ascii="Verdana" w:hAnsi="Verdana"/>
                <w:sz w:val="16"/>
                <w:szCs w:val="16"/>
                <w:lang w:val="lt-LT"/>
              </w:rPr>
              <w:t>e</w:t>
            </w:r>
            <w:r w:rsidRPr="008048D3">
              <w:rPr>
                <w:rFonts w:ascii="Verdana" w:hAnsi="Verdana"/>
                <w:sz w:val="16"/>
                <w:szCs w:val="16"/>
                <w:lang w:val="lt-LT"/>
              </w:rPr>
              <w:t>t n</w:t>
            </w:r>
            <w:r w:rsidR="006C3B37" w:rsidRPr="008048D3">
              <w:rPr>
                <w:rFonts w:ascii="Verdana" w:hAnsi="Verdana"/>
                <w:sz w:val="16"/>
                <w:szCs w:val="16"/>
                <w:lang w:val="lt-LT"/>
              </w:rPr>
              <w:t>e</w:t>
            </w:r>
            <w:r w:rsidRPr="008048D3">
              <w:rPr>
                <w:rFonts w:ascii="Verdana" w:hAnsi="Verdana"/>
                <w:sz w:val="16"/>
                <w:szCs w:val="16"/>
                <w:lang w:val="lt-LT"/>
              </w:rPr>
              <w:t xml:space="preserve"> </w:t>
            </w:r>
            <w:r w:rsidR="006C3B37" w:rsidRPr="008048D3">
              <w:rPr>
                <w:rFonts w:ascii="Verdana" w:hAnsi="Verdana"/>
                <w:sz w:val="16"/>
                <w:szCs w:val="16"/>
                <w:lang w:val="lt-LT"/>
              </w:rPr>
              <w:t xml:space="preserve">daugiau kaip </w:t>
            </w:r>
            <w:r w:rsidRPr="008048D3">
              <w:rPr>
                <w:rFonts w:ascii="Verdana" w:hAnsi="Verdana"/>
                <w:sz w:val="16"/>
                <w:szCs w:val="16"/>
                <w:lang w:val="lt-LT"/>
              </w:rPr>
              <w:t xml:space="preserve">1 ha </w:t>
            </w:r>
            <w:r w:rsidR="00545BDB" w:rsidRPr="008048D3">
              <w:rPr>
                <w:rFonts w:ascii="Verdana" w:hAnsi="Verdana"/>
                <w:sz w:val="16"/>
                <w:szCs w:val="16"/>
                <w:lang w:val="lt-LT"/>
              </w:rPr>
              <w:t>vienam laikomam sutartiniam gyvuliui</w:t>
            </w:r>
            <w:r w:rsidRPr="008048D3">
              <w:rPr>
                <w:rFonts w:ascii="Verdana" w:hAnsi="Verdana"/>
                <w:sz w:val="16"/>
                <w:szCs w:val="16"/>
                <w:lang w:val="lt-LT"/>
              </w:rPr>
              <w:t xml:space="preserve">). </w:t>
            </w:r>
            <w:r w:rsidR="00545BDB" w:rsidRPr="008048D3">
              <w:rPr>
                <w:rFonts w:ascii="Verdana" w:hAnsi="Verdana"/>
                <w:sz w:val="16"/>
                <w:szCs w:val="16"/>
                <w:lang w:val="lt-LT"/>
              </w:rPr>
              <w:t>Šis teisinis apribojimas dėl maksimalaus nuosavybės teise turimo žemės ūkio paskirties žemės ploto neturėtų būti taikomas atgaline data</w:t>
            </w:r>
            <w:r w:rsidRPr="008048D3">
              <w:rPr>
                <w:rFonts w:ascii="Verdana" w:hAnsi="Verdana"/>
                <w:sz w:val="16"/>
                <w:szCs w:val="16"/>
                <w:lang w:val="lt-LT"/>
              </w:rPr>
              <w:t>.</w:t>
            </w:r>
          </w:p>
          <w:p w14:paraId="51AAF987" w14:textId="77777777" w:rsidR="00D43A5E" w:rsidRPr="008048D3" w:rsidRDefault="00D43A5E" w:rsidP="00D43A5E">
            <w:pPr>
              <w:pStyle w:val="KLGIPOBody"/>
              <w:spacing w:before="0" w:after="0" w:line="240" w:lineRule="auto"/>
              <w:rPr>
                <w:rFonts w:ascii="Verdana" w:hAnsi="Verdana"/>
                <w:sz w:val="16"/>
                <w:szCs w:val="16"/>
                <w:lang w:val="lt-LT"/>
              </w:rPr>
            </w:pPr>
          </w:p>
          <w:p w14:paraId="2701DF39" w14:textId="20B569FC" w:rsidR="00D43A5E" w:rsidRPr="008048D3" w:rsidRDefault="000C638F" w:rsidP="00517BAF">
            <w:pPr>
              <w:rPr>
                <w:rFonts w:ascii="Verdana" w:hAnsi="Verdana"/>
                <w:b/>
                <w:sz w:val="16"/>
                <w:szCs w:val="16"/>
                <w:lang w:val="lt-LT"/>
              </w:rPr>
            </w:pPr>
            <w:r w:rsidRPr="008048D3">
              <w:rPr>
                <w:rFonts w:ascii="Verdana" w:hAnsi="Verdana"/>
                <w:b/>
                <w:sz w:val="16"/>
                <w:szCs w:val="16"/>
                <w:lang w:val="lt-LT"/>
              </w:rPr>
              <w:t xml:space="preserve">Ūkio sektoriui būdingi rizikos veiksniai </w:t>
            </w:r>
          </w:p>
          <w:p w14:paraId="0DDD5857" w14:textId="77777777" w:rsidR="00D43A5E" w:rsidRPr="008048D3" w:rsidRDefault="00D43A5E" w:rsidP="00517BAF">
            <w:pPr>
              <w:rPr>
                <w:rFonts w:ascii="Verdana" w:hAnsi="Verdana"/>
                <w:b/>
                <w:sz w:val="16"/>
                <w:szCs w:val="16"/>
                <w:lang w:val="lt-LT"/>
              </w:rPr>
            </w:pPr>
          </w:p>
          <w:p w14:paraId="7F92B1C8" w14:textId="296EE3D1" w:rsidR="00D43A5E" w:rsidRPr="008048D3" w:rsidRDefault="00802BFD" w:rsidP="00D43A5E">
            <w:pPr>
              <w:ind w:right="-32"/>
              <w:jc w:val="both"/>
              <w:rPr>
                <w:rFonts w:ascii="Verdana" w:hAnsi="Verdana"/>
                <w:sz w:val="16"/>
                <w:szCs w:val="16"/>
                <w:lang w:val="lt-LT"/>
              </w:rPr>
            </w:pPr>
            <w:r w:rsidRPr="008048D3">
              <w:rPr>
                <w:rFonts w:ascii="Verdana" w:hAnsi="Verdana"/>
                <w:b/>
                <w:bCs/>
                <w:sz w:val="16"/>
                <w:szCs w:val="16"/>
                <w:lang w:val="lt-LT"/>
              </w:rPr>
              <w:t>Ligų rizika</w:t>
            </w:r>
            <w:r w:rsidR="00D43A5E" w:rsidRPr="008048D3">
              <w:rPr>
                <w:rFonts w:ascii="Verdana" w:hAnsi="Verdana"/>
                <w:b/>
                <w:bCs/>
                <w:sz w:val="16"/>
                <w:szCs w:val="16"/>
                <w:lang w:val="lt-LT"/>
              </w:rPr>
              <w:t xml:space="preserve">. </w:t>
            </w:r>
            <w:r w:rsidR="00D43A5E" w:rsidRPr="008048D3">
              <w:rPr>
                <w:rFonts w:ascii="Verdana" w:hAnsi="Verdana"/>
                <w:sz w:val="16"/>
                <w:szCs w:val="16"/>
                <w:lang w:val="lt-LT"/>
              </w:rPr>
              <w:t>Grup</w:t>
            </w:r>
            <w:r w:rsidRPr="008048D3">
              <w:rPr>
                <w:rFonts w:ascii="Verdana" w:hAnsi="Verdana"/>
                <w:sz w:val="16"/>
                <w:szCs w:val="16"/>
                <w:lang w:val="lt-LT"/>
              </w:rPr>
              <w:t>ė</w:t>
            </w:r>
            <w:r w:rsidR="00D43A5E" w:rsidRPr="008048D3">
              <w:rPr>
                <w:rFonts w:ascii="Verdana" w:hAnsi="Verdana"/>
                <w:sz w:val="16"/>
                <w:szCs w:val="16"/>
                <w:lang w:val="lt-LT"/>
              </w:rPr>
              <w:t xml:space="preserve">s </w:t>
            </w:r>
            <w:r w:rsidRPr="008048D3">
              <w:rPr>
                <w:rFonts w:ascii="Verdana" w:hAnsi="Verdana"/>
                <w:sz w:val="16"/>
                <w:szCs w:val="16"/>
                <w:lang w:val="lt-LT"/>
              </w:rPr>
              <w:t>veikla, be kita ko, yra susijusi su augalinės arba gyvūninės kilmės turtu</w:t>
            </w:r>
            <w:r w:rsidR="00D43A5E" w:rsidRPr="008048D3">
              <w:rPr>
                <w:rFonts w:ascii="Verdana" w:hAnsi="Verdana"/>
                <w:sz w:val="16"/>
                <w:szCs w:val="16"/>
                <w:lang w:val="lt-LT"/>
              </w:rPr>
              <w:t xml:space="preserve">. </w:t>
            </w:r>
            <w:r w:rsidRPr="008048D3">
              <w:rPr>
                <w:rFonts w:ascii="Verdana" w:hAnsi="Verdana"/>
                <w:sz w:val="16"/>
                <w:szCs w:val="16"/>
                <w:lang w:val="lt-LT"/>
              </w:rPr>
              <w:t xml:space="preserve">Galvijų epideminės </w:t>
            </w:r>
            <w:r w:rsidRPr="008048D3">
              <w:rPr>
                <w:rFonts w:ascii="Verdana" w:hAnsi="Verdana" w:cs="Tahoma"/>
                <w:sz w:val="16"/>
                <w:szCs w:val="16"/>
                <w:lang w:val="lt-LT"/>
              </w:rPr>
              <w:t xml:space="preserve">ligos </w:t>
            </w:r>
            <w:r w:rsidR="00D43A5E" w:rsidRPr="008048D3">
              <w:rPr>
                <w:rFonts w:ascii="Verdana" w:hAnsi="Verdana" w:cs="Tahoma"/>
                <w:sz w:val="16"/>
                <w:szCs w:val="16"/>
                <w:lang w:val="lt-LT"/>
              </w:rPr>
              <w:t>(</w:t>
            </w:r>
            <w:r w:rsidRPr="008048D3">
              <w:rPr>
                <w:rFonts w:ascii="Verdana" w:hAnsi="Verdana" w:cs="Tahoma"/>
                <w:sz w:val="16"/>
                <w:szCs w:val="16"/>
                <w:lang w:val="lt-LT"/>
              </w:rPr>
              <w:t xml:space="preserve">pvz., galvijų </w:t>
            </w:r>
            <w:proofErr w:type="spellStart"/>
            <w:r w:rsidRPr="008048D3">
              <w:rPr>
                <w:rFonts w:ascii="Verdana" w:hAnsi="Verdana" w:cs="Tahoma"/>
                <w:sz w:val="16"/>
                <w:szCs w:val="16"/>
                <w:lang w:val="lt-LT"/>
              </w:rPr>
              <w:t>spongiforminė</w:t>
            </w:r>
            <w:proofErr w:type="spellEnd"/>
            <w:r w:rsidRPr="008048D3">
              <w:rPr>
                <w:rFonts w:ascii="Verdana" w:hAnsi="Verdana" w:cs="Tahoma"/>
                <w:sz w:val="16"/>
                <w:szCs w:val="16"/>
                <w:lang w:val="lt-LT"/>
              </w:rPr>
              <w:t xml:space="preserve"> </w:t>
            </w:r>
            <w:proofErr w:type="spellStart"/>
            <w:r w:rsidRPr="008048D3">
              <w:rPr>
                <w:rFonts w:ascii="Verdana" w:hAnsi="Verdana" w:cs="Tahoma"/>
                <w:sz w:val="16"/>
                <w:szCs w:val="16"/>
                <w:lang w:val="lt-LT"/>
              </w:rPr>
              <w:t>encefalopatija</w:t>
            </w:r>
            <w:proofErr w:type="spellEnd"/>
            <w:r w:rsidR="00B00C77" w:rsidRPr="008048D3">
              <w:rPr>
                <w:rFonts w:ascii="Verdana" w:hAnsi="Verdana" w:cs="Tahoma"/>
                <w:sz w:val="16"/>
                <w:szCs w:val="16"/>
                <w:lang w:val="lt-LT"/>
              </w:rPr>
              <w:t xml:space="preserve">, </w:t>
            </w:r>
            <w:r w:rsidRPr="008048D3">
              <w:rPr>
                <w:rFonts w:ascii="Verdana" w:hAnsi="Verdana" w:cs="Tahoma"/>
                <w:sz w:val="16"/>
                <w:szCs w:val="16"/>
                <w:lang w:val="lt-LT"/>
              </w:rPr>
              <w:t>kitaip vadinama galvijų kempinlig</w:t>
            </w:r>
            <w:r w:rsidR="00B00C77" w:rsidRPr="008048D3">
              <w:rPr>
                <w:rFonts w:ascii="Verdana" w:hAnsi="Verdana" w:cs="Tahoma"/>
                <w:sz w:val="16"/>
                <w:szCs w:val="16"/>
                <w:lang w:val="lt-LT"/>
              </w:rPr>
              <w:t>e</w:t>
            </w:r>
            <w:r w:rsidR="00D43A5E" w:rsidRPr="008048D3">
              <w:rPr>
                <w:rFonts w:ascii="Verdana" w:hAnsi="Verdana"/>
                <w:sz w:val="16"/>
                <w:szCs w:val="16"/>
                <w:lang w:val="lt-LT"/>
              </w:rPr>
              <w:t xml:space="preserve">), </w:t>
            </w:r>
            <w:r w:rsidRPr="008048D3">
              <w:rPr>
                <w:rFonts w:ascii="Verdana" w:hAnsi="Verdana"/>
                <w:sz w:val="16"/>
                <w:szCs w:val="16"/>
                <w:lang w:val="lt-LT"/>
              </w:rPr>
              <w:t>bet kokios kitos ligos</w:t>
            </w:r>
            <w:r w:rsidR="00D43A5E" w:rsidRPr="008048D3">
              <w:rPr>
                <w:rFonts w:ascii="Verdana" w:hAnsi="Verdana"/>
                <w:sz w:val="16"/>
                <w:szCs w:val="16"/>
                <w:lang w:val="lt-LT"/>
              </w:rPr>
              <w:t xml:space="preserve">, </w:t>
            </w:r>
            <w:r w:rsidRPr="008048D3">
              <w:rPr>
                <w:rFonts w:ascii="Verdana" w:hAnsi="Verdana"/>
                <w:sz w:val="16"/>
                <w:szCs w:val="16"/>
                <w:lang w:val="lt-LT"/>
              </w:rPr>
              <w:t>bakterijos ir kt. gali sumažinti tokių produktų paklausą baiminantis dėl to galinčių kilti pasekmių</w:t>
            </w:r>
            <w:r w:rsidR="00D43A5E" w:rsidRPr="008048D3">
              <w:rPr>
                <w:rFonts w:ascii="Verdana" w:hAnsi="Verdana"/>
                <w:sz w:val="16"/>
                <w:szCs w:val="16"/>
                <w:lang w:val="lt-LT"/>
              </w:rPr>
              <w:t xml:space="preserve">. </w:t>
            </w:r>
            <w:r w:rsidRPr="008048D3">
              <w:rPr>
                <w:rFonts w:ascii="Verdana" w:hAnsi="Verdana"/>
                <w:sz w:val="16"/>
                <w:szCs w:val="16"/>
                <w:lang w:val="lt-LT"/>
              </w:rPr>
              <w:t>Dėl tokių pasikeitimų gali pasunkėti Emitento finansinė padėtis</w:t>
            </w:r>
            <w:r w:rsidR="00D43A5E" w:rsidRPr="008048D3">
              <w:rPr>
                <w:rFonts w:ascii="Verdana" w:hAnsi="Verdana"/>
                <w:sz w:val="16"/>
                <w:szCs w:val="16"/>
                <w:lang w:val="lt-LT"/>
              </w:rPr>
              <w:t>.</w:t>
            </w:r>
          </w:p>
          <w:p w14:paraId="39BB3DFE" w14:textId="77777777" w:rsidR="00D43A5E" w:rsidRPr="008048D3" w:rsidRDefault="00D43A5E" w:rsidP="00D43A5E">
            <w:pPr>
              <w:ind w:right="-32"/>
              <w:jc w:val="both"/>
              <w:rPr>
                <w:rFonts w:ascii="Verdana" w:hAnsi="Verdana"/>
                <w:sz w:val="16"/>
                <w:szCs w:val="16"/>
                <w:lang w:val="lt-LT"/>
              </w:rPr>
            </w:pPr>
          </w:p>
          <w:p w14:paraId="2BFD6764" w14:textId="6D027F0F" w:rsidR="00D43A5E" w:rsidRPr="008048D3" w:rsidRDefault="0045044A" w:rsidP="00D43A5E">
            <w:pPr>
              <w:ind w:right="-32"/>
              <w:jc w:val="both"/>
              <w:rPr>
                <w:rFonts w:ascii="Verdana" w:hAnsi="Verdana"/>
                <w:sz w:val="16"/>
                <w:szCs w:val="16"/>
                <w:lang w:val="lt-LT"/>
              </w:rPr>
            </w:pPr>
            <w:r w:rsidRPr="008048D3">
              <w:rPr>
                <w:rFonts w:ascii="Verdana" w:hAnsi="Verdana"/>
                <w:b/>
                <w:sz w:val="16"/>
                <w:szCs w:val="16"/>
                <w:lang w:val="lt-LT"/>
              </w:rPr>
              <w:t>Ekologi</w:t>
            </w:r>
            <w:r w:rsidR="00136811" w:rsidRPr="008048D3">
              <w:rPr>
                <w:rFonts w:ascii="Verdana" w:hAnsi="Verdana"/>
                <w:b/>
                <w:sz w:val="16"/>
                <w:szCs w:val="16"/>
                <w:lang w:val="lt-LT"/>
              </w:rPr>
              <w:t>ško</w:t>
            </w:r>
            <w:r w:rsidRPr="008048D3">
              <w:rPr>
                <w:rFonts w:ascii="Verdana" w:hAnsi="Verdana"/>
                <w:b/>
                <w:sz w:val="16"/>
                <w:szCs w:val="16"/>
                <w:lang w:val="lt-LT"/>
              </w:rPr>
              <w:t xml:space="preserve"> maisto paklausos ir jautrumo kainai pokytis</w:t>
            </w:r>
            <w:r w:rsidR="00D43A5E" w:rsidRPr="008048D3">
              <w:rPr>
                <w:rFonts w:ascii="Verdana" w:hAnsi="Verdana"/>
                <w:b/>
                <w:sz w:val="16"/>
                <w:szCs w:val="16"/>
                <w:lang w:val="lt-LT"/>
              </w:rPr>
              <w:t>.</w:t>
            </w:r>
            <w:r w:rsidR="00D43A5E" w:rsidRPr="008048D3">
              <w:rPr>
                <w:rFonts w:ascii="Verdana" w:hAnsi="Verdana"/>
                <w:sz w:val="16"/>
                <w:szCs w:val="16"/>
                <w:lang w:val="lt-LT"/>
              </w:rPr>
              <w:t xml:space="preserve"> </w:t>
            </w:r>
            <w:r w:rsidRPr="008048D3">
              <w:rPr>
                <w:rFonts w:ascii="Verdana" w:hAnsi="Verdana"/>
                <w:sz w:val="16"/>
                <w:szCs w:val="16"/>
                <w:lang w:val="lt-LT"/>
              </w:rPr>
              <w:t>Nors tendencijos rodo ekologi</w:t>
            </w:r>
            <w:r w:rsidR="00136811" w:rsidRPr="008048D3">
              <w:rPr>
                <w:rFonts w:ascii="Verdana" w:hAnsi="Verdana"/>
                <w:sz w:val="16"/>
                <w:szCs w:val="16"/>
                <w:lang w:val="lt-LT"/>
              </w:rPr>
              <w:t>ško</w:t>
            </w:r>
            <w:r w:rsidRPr="008048D3">
              <w:rPr>
                <w:rFonts w:ascii="Verdana" w:hAnsi="Verdana"/>
                <w:sz w:val="16"/>
                <w:szCs w:val="16"/>
                <w:lang w:val="lt-LT"/>
              </w:rPr>
              <w:t xml:space="preserve"> maisto produktų už didesnę kainą paklausos augimą</w:t>
            </w:r>
            <w:r w:rsidR="00D43A5E" w:rsidRPr="008048D3">
              <w:rPr>
                <w:rFonts w:ascii="Verdana" w:hAnsi="Verdana"/>
                <w:sz w:val="16"/>
                <w:szCs w:val="16"/>
                <w:lang w:val="lt-LT"/>
              </w:rPr>
              <w:t xml:space="preserve">, </w:t>
            </w:r>
            <w:r w:rsidRPr="008048D3">
              <w:rPr>
                <w:rFonts w:ascii="Verdana" w:hAnsi="Verdana"/>
                <w:sz w:val="16"/>
                <w:szCs w:val="16"/>
                <w:lang w:val="lt-LT"/>
              </w:rPr>
              <w:t xml:space="preserve">bet koks neigiamas ekonominių sąlygų pokytis, dėl kurio padidėtų jautrumas kainai, arba neigiamos publikacijos apie </w:t>
            </w:r>
            <w:r w:rsidR="00136811" w:rsidRPr="008048D3">
              <w:rPr>
                <w:rFonts w:ascii="Verdana" w:hAnsi="Verdana"/>
                <w:sz w:val="16"/>
                <w:szCs w:val="16"/>
                <w:lang w:val="lt-LT"/>
              </w:rPr>
              <w:t xml:space="preserve">ekologiško </w:t>
            </w:r>
            <w:r w:rsidRPr="008048D3">
              <w:rPr>
                <w:rFonts w:ascii="Verdana" w:hAnsi="Verdana"/>
                <w:sz w:val="16"/>
                <w:szCs w:val="16"/>
                <w:lang w:val="lt-LT"/>
              </w:rPr>
              <w:t>maisto vartojimą gali turėti reikšmingos įtakos Emitento veiklos rezultatams</w:t>
            </w:r>
            <w:r w:rsidR="00D43A5E" w:rsidRPr="008048D3">
              <w:rPr>
                <w:rFonts w:ascii="Verdana" w:hAnsi="Verdana"/>
                <w:sz w:val="16"/>
                <w:szCs w:val="16"/>
                <w:lang w:val="lt-LT"/>
              </w:rPr>
              <w:t xml:space="preserve">. </w:t>
            </w:r>
            <w:r w:rsidRPr="008048D3">
              <w:rPr>
                <w:rFonts w:ascii="Verdana" w:hAnsi="Verdana"/>
                <w:sz w:val="16"/>
                <w:szCs w:val="16"/>
                <w:lang w:val="lt-LT"/>
              </w:rPr>
              <w:t xml:space="preserve">Emitentas pasirinko būti </w:t>
            </w:r>
            <w:r w:rsidR="00136811" w:rsidRPr="008048D3">
              <w:rPr>
                <w:rFonts w:ascii="Verdana" w:hAnsi="Verdana"/>
                <w:sz w:val="16"/>
                <w:szCs w:val="16"/>
                <w:lang w:val="lt-LT"/>
              </w:rPr>
              <w:t xml:space="preserve">ekologiško </w:t>
            </w:r>
            <w:r w:rsidRPr="008048D3">
              <w:rPr>
                <w:rFonts w:ascii="Verdana" w:hAnsi="Verdana"/>
                <w:sz w:val="16"/>
                <w:szCs w:val="16"/>
                <w:lang w:val="lt-LT"/>
              </w:rPr>
              <w:t xml:space="preserve">maisto gamintoju, todėl priklauso nuo </w:t>
            </w:r>
            <w:r w:rsidR="00136811" w:rsidRPr="008048D3">
              <w:rPr>
                <w:rFonts w:ascii="Verdana" w:hAnsi="Verdana"/>
                <w:sz w:val="16"/>
                <w:szCs w:val="16"/>
                <w:lang w:val="lt-LT"/>
              </w:rPr>
              <w:t xml:space="preserve">ekologiško </w:t>
            </w:r>
            <w:r w:rsidRPr="008048D3">
              <w:rPr>
                <w:rFonts w:ascii="Verdana" w:hAnsi="Verdana"/>
                <w:sz w:val="16"/>
                <w:szCs w:val="16"/>
                <w:lang w:val="lt-LT"/>
              </w:rPr>
              <w:t>maisto</w:t>
            </w:r>
            <w:r w:rsidR="00727D3F" w:rsidRPr="008048D3">
              <w:rPr>
                <w:rFonts w:ascii="Verdana" w:hAnsi="Verdana"/>
                <w:sz w:val="16"/>
                <w:szCs w:val="16"/>
                <w:lang w:val="lt-LT"/>
              </w:rPr>
              <w:t xml:space="preserve"> paklausos</w:t>
            </w:r>
            <w:r w:rsidR="00D43A5E" w:rsidRPr="008048D3">
              <w:rPr>
                <w:rFonts w:ascii="Verdana" w:hAnsi="Verdana"/>
                <w:sz w:val="16"/>
                <w:szCs w:val="16"/>
                <w:lang w:val="lt-LT"/>
              </w:rPr>
              <w:t>.</w:t>
            </w:r>
          </w:p>
          <w:p w14:paraId="337425F8" w14:textId="77777777" w:rsidR="00D43A5E" w:rsidRPr="008048D3" w:rsidRDefault="00D43A5E" w:rsidP="00D43A5E">
            <w:pPr>
              <w:ind w:right="-32"/>
              <w:jc w:val="both"/>
              <w:rPr>
                <w:rFonts w:ascii="Verdana" w:hAnsi="Verdana"/>
                <w:sz w:val="16"/>
                <w:szCs w:val="16"/>
                <w:lang w:val="lt-LT"/>
              </w:rPr>
            </w:pPr>
          </w:p>
          <w:p w14:paraId="09E16F3E" w14:textId="280E6E5C" w:rsidR="00D43A5E" w:rsidRPr="008048D3" w:rsidRDefault="00B468CE" w:rsidP="00D43A5E">
            <w:pPr>
              <w:ind w:right="-32"/>
              <w:jc w:val="both"/>
              <w:rPr>
                <w:rFonts w:ascii="Verdana" w:hAnsi="Verdana"/>
                <w:sz w:val="16"/>
                <w:szCs w:val="16"/>
                <w:lang w:val="lt-LT"/>
              </w:rPr>
            </w:pPr>
            <w:r w:rsidRPr="008048D3">
              <w:rPr>
                <w:rFonts w:ascii="Verdana" w:hAnsi="Verdana"/>
                <w:b/>
                <w:sz w:val="16"/>
                <w:szCs w:val="16"/>
                <w:lang w:val="lt-LT"/>
              </w:rPr>
              <w:t>Turimo pripažinimo ir sertifikavimo praradimas</w:t>
            </w:r>
            <w:r w:rsidR="00D43A5E" w:rsidRPr="008048D3">
              <w:rPr>
                <w:rFonts w:ascii="Verdana" w:hAnsi="Verdana"/>
                <w:b/>
                <w:sz w:val="16"/>
                <w:szCs w:val="16"/>
                <w:lang w:val="lt-LT"/>
              </w:rPr>
              <w:t>.</w:t>
            </w:r>
            <w:r w:rsidR="00D43A5E" w:rsidRPr="008048D3">
              <w:rPr>
                <w:rFonts w:ascii="Verdana" w:hAnsi="Verdana"/>
                <w:sz w:val="16"/>
                <w:szCs w:val="16"/>
                <w:lang w:val="lt-LT"/>
              </w:rPr>
              <w:t xml:space="preserve"> </w:t>
            </w:r>
            <w:r w:rsidR="007469E3" w:rsidRPr="008048D3">
              <w:rPr>
                <w:rFonts w:ascii="Verdana" w:hAnsi="Verdana"/>
                <w:sz w:val="16"/>
                <w:szCs w:val="16"/>
                <w:lang w:val="lt-LT"/>
              </w:rPr>
              <w:t xml:space="preserve">Emitentas šiuo metu yra pripažintas </w:t>
            </w:r>
            <w:r w:rsidR="00136811" w:rsidRPr="008048D3">
              <w:rPr>
                <w:rFonts w:ascii="Verdana" w:hAnsi="Verdana"/>
                <w:sz w:val="16"/>
                <w:szCs w:val="16"/>
                <w:lang w:val="lt-LT"/>
              </w:rPr>
              <w:t xml:space="preserve">ekologiško </w:t>
            </w:r>
            <w:r w:rsidR="007469E3" w:rsidRPr="008048D3">
              <w:rPr>
                <w:rFonts w:ascii="Verdana" w:hAnsi="Verdana"/>
                <w:sz w:val="16"/>
                <w:szCs w:val="16"/>
                <w:lang w:val="lt-LT"/>
              </w:rPr>
              <w:t>maisto gamintoju ir, be kita ko, turi „</w:t>
            </w:r>
            <w:proofErr w:type="spellStart"/>
            <w:r w:rsidR="00D43A5E" w:rsidRPr="008048D3">
              <w:rPr>
                <w:rFonts w:ascii="Verdana" w:hAnsi="Verdana"/>
                <w:sz w:val="16"/>
                <w:szCs w:val="16"/>
                <w:lang w:val="lt-LT"/>
              </w:rPr>
              <w:t>Global</w:t>
            </w:r>
            <w:proofErr w:type="spellEnd"/>
            <w:r w:rsidR="00D43A5E" w:rsidRPr="008048D3">
              <w:rPr>
                <w:rFonts w:ascii="Verdana" w:hAnsi="Verdana"/>
                <w:sz w:val="16"/>
                <w:szCs w:val="16"/>
                <w:lang w:val="lt-LT"/>
              </w:rPr>
              <w:t xml:space="preserve"> GAP</w:t>
            </w:r>
            <w:r w:rsidR="007469E3" w:rsidRPr="008048D3">
              <w:rPr>
                <w:rFonts w:ascii="Verdana" w:hAnsi="Verdana"/>
                <w:sz w:val="16"/>
                <w:szCs w:val="16"/>
                <w:lang w:val="lt-LT"/>
              </w:rPr>
              <w:t>“</w:t>
            </w:r>
            <w:r w:rsidR="00D43A5E" w:rsidRPr="008048D3">
              <w:rPr>
                <w:rFonts w:ascii="Verdana" w:hAnsi="Verdana"/>
                <w:sz w:val="16"/>
                <w:szCs w:val="16"/>
                <w:lang w:val="lt-LT"/>
              </w:rPr>
              <w:t xml:space="preserve">, </w:t>
            </w:r>
            <w:r w:rsidR="007469E3" w:rsidRPr="008048D3">
              <w:rPr>
                <w:rFonts w:ascii="Verdana" w:hAnsi="Verdana"/>
                <w:sz w:val="16"/>
                <w:szCs w:val="16"/>
                <w:lang w:val="lt-LT"/>
              </w:rPr>
              <w:t>„</w:t>
            </w:r>
            <w:proofErr w:type="spellStart"/>
            <w:r w:rsidR="00D43A5E" w:rsidRPr="008048D3">
              <w:rPr>
                <w:rFonts w:ascii="Verdana" w:hAnsi="Verdana"/>
                <w:sz w:val="16"/>
                <w:szCs w:val="16"/>
                <w:lang w:val="lt-LT"/>
              </w:rPr>
              <w:t>Kosher</w:t>
            </w:r>
            <w:proofErr w:type="spellEnd"/>
            <w:r w:rsidR="007469E3" w:rsidRPr="008048D3">
              <w:rPr>
                <w:rFonts w:ascii="Verdana" w:hAnsi="Verdana"/>
                <w:sz w:val="16"/>
                <w:szCs w:val="16"/>
                <w:lang w:val="lt-LT"/>
              </w:rPr>
              <w:t>“</w:t>
            </w:r>
            <w:r w:rsidR="00D43A5E" w:rsidRPr="008048D3">
              <w:rPr>
                <w:rFonts w:ascii="Verdana" w:hAnsi="Verdana"/>
                <w:sz w:val="16"/>
                <w:szCs w:val="16"/>
                <w:lang w:val="lt-LT"/>
              </w:rPr>
              <w:t xml:space="preserve"> </w:t>
            </w:r>
            <w:r w:rsidR="007469E3" w:rsidRPr="008048D3">
              <w:rPr>
                <w:rFonts w:ascii="Verdana" w:hAnsi="Verdana"/>
                <w:sz w:val="16"/>
                <w:szCs w:val="16"/>
                <w:lang w:val="lt-LT"/>
              </w:rPr>
              <w:t>ir „</w:t>
            </w:r>
            <w:r w:rsidR="00D43A5E" w:rsidRPr="008048D3">
              <w:rPr>
                <w:rFonts w:ascii="Verdana" w:hAnsi="Verdana"/>
                <w:sz w:val="16"/>
                <w:szCs w:val="16"/>
                <w:lang w:val="lt-LT"/>
              </w:rPr>
              <w:t xml:space="preserve">BRC </w:t>
            </w:r>
            <w:proofErr w:type="spellStart"/>
            <w:r w:rsidR="00D43A5E" w:rsidRPr="008048D3">
              <w:rPr>
                <w:rFonts w:ascii="Verdana" w:hAnsi="Verdana"/>
                <w:sz w:val="16"/>
                <w:szCs w:val="16"/>
                <w:lang w:val="lt-LT"/>
              </w:rPr>
              <w:t>Food</w:t>
            </w:r>
            <w:proofErr w:type="spellEnd"/>
            <w:r w:rsidR="007469E3" w:rsidRPr="008048D3">
              <w:rPr>
                <w:rFonts w:ascii="Verdana" w:hAnsi="Verdana"/>
                <w:sz w:val="16"/>
                <w:szCs w:val="16"/>
                <w:lang w:val="lt-LT"/>
              </w:rPr>
              <w:t>“ sertifikatus</w:t>
            </w:r>
            <w:r w:rsidR="00D43A5E" w:rsidRPr="008048D3">
              <w:rPr>
                <w:rFonts w:ascii="Verdana" w:hAnsi="Verdana"/>
                <w:sz w:val="16"/>
                <w:szCs w:val="16"/>
                <w:lang w:val="lt-LT"/>
              </w:rPr>
              <w:t>. T</w:t>
            </w:r>
            <w:r w:rsidR="007469E3" w:rsidRPr="008048D3">
              <w:rPr>
                <w:rFonts w:ascii="Verdana" w:hAnsi="Verdana"/>
                <w:sz w:val="16"/>
                <w:szCs w:val="16"/>
                <w:lang w:val="lt-LT"/>
              </w:rPr>
              <w:t>ai gali būti laikoma svarbia Emitento prekės ženklo ir pozicionavimo rinkoje dalimi</w:t>
            </w:r>
            <w:r w:rsidR="00D43A5E" w:rsidRPr="008048D3">
              <w:rPr>
                <w:rFonts w:ascii="Verdana" w:hAnsi="Verdana"/>
                <w:sz w:val="16"/>
                <w:szCs w:val="16"/>
                <w:lang w:val="lt-LT"/>
              </w:rPr>
              <w:t xml:space="preserve">, </w:t>
            </w:r>
            <w:r w:rsidR="007469E3" w:rsidRPr="008048D3">
              <w:rPr>
                <w:rFonts w:ascii="Verdana" w:hAnsi="Verdana"/>
                <w:sz w:val="16"/>
                <w:szCs w:val="16"/>
                <w:lang w:val="lt-LT"/>
              </w:rPr>
              <w:t>todėl praradus šiuos sertifikatus gali sumažėti paklausa arba Emitento prekių ženklo vertė</w:t>
            </w:r>
            <w:r w:rsidR="00D43A5E" w:rsidRPr="008048D3">
              <w:rPr>
                <w:rFonts w:ascii="Verdana" w:hAnsi="Verdana"/>
                <w:sz w:val="16"/>
                <w:szCs w:val="16"/>
                <w:lang w:val="lt-LT"/>
              </w:rPr>
              <w:t xml:space="preserve">. </w:t>
            </w:r>
            <w:r w:rsidR="007469E3" w:rsidRPr="008048D3">
              <w:rPr>
                <w:rFonts w:ascii="Verdana" w:hAnsi="Verdana"/>
                <w:sz w:val="16"/>
                <w:szCs w:val="16"/>
                <w:lang w:val="lt-LT"/>
              </w:rPr>
              <w:t xml:space="preserve">Praradus </w:t>
            </w:r>
            <w:r w:rsidR="00136811" w:rsidRPr="008048D3">
              <w:rPr>
                <w:rFonts w:ascii="Verdana" w:hAnsi="Verdana"/>
                <w:sz w:val="16"/>
                <w:szCs w:val="16"/>
                <w:lang w:val="lt-LT"/>
              </w:rPr>
              <w:t xml:space="preserve">ekologiško </w:t>
            </w:r>
            <w:r w:rsidR="007469E3" w:rsidRPr="008048D3">
              <w:rPr>
                <w:rFonts w:ascii="Verdana" w:hAnsi="Verdana"/>
                <w:sz w:val="16"/>
                <w:szCs w:val="16"/>
                <w:lang w:val="lt-LT"/>
              </w:rPr>
              <w:t>maisto gamintojo sertifikatą taip pat sumažėtų galimos pajamos iš su ekologiniu ūkininkavim</w:t>
            </w:r>
            <w:r w:rsidR="00136811" w:rsidRPr="008048D3">
              <w:rPr>
                <w:rFonts w:ascii="Verdana" w:hAnsi="Verdana"/>
                <w:sz w:val="16"/>
                <w:szCs w:val="16"/>
                <w:lang w:val="lt-LT"/>
              </w:rPr>
              <w:t>u</w:t>
            </w:r>
            <w:r w:rsidR="007469E3" w:rsidRPr="008048D3">
              <w:rPr>
                <w:rFonts w:ascii="Verdana" w:hAnsi="Verdana"/>
                <w:sz w:val="16"/>
                <w:szCs w:val="16"/>
                <w:lang w:val="lt-LT"/>
              </w:rPr>
              <w:t xml:space="preserve"> susijusių </w:t>
            </w:r>
            <w:r w:rsidR="00D43A5E" w:rsidRPr="008048D3">
              <w:rPr>
                <w:rFonts w:ascii="Verdana" w:hAnsi="Verdana"/>
                <w:sz w:val="16"/>
                <w:szCs w:val="16"/>
                <w:lang w:val="lt-LT"/>
              </w:rPr>
              <w:t>E</w:t>
            </w:r>
            <w:r w:rsidR="007469E3" w:rsidRPr="008048D3">
              <w:rPr>
                <w:rFonts w:ascii="Verdana" w:hAnsi="Verdana"/>
                <w:sz w:val="16"/>
                <w:szCs w:val="16"/>
                <w:lang w:val="lt-LT"/>
              </w:rPr>
              <w:t>S</w:t>
            </w:r>
            <w:r w:rsidR="00D43A5E" w:rsidRPr="008048D3">
              <w:rPr>
                <w:rFonts w:ascii="Verdana" w:hAnsi="Verdana"/>
                <w:sz w:val="16"/>
                <w:szCs w:val="16"/>
                <w:lang w:val="lt-LT"/>
              </w:rPr>
              <w:t xml:space="preserve"> subsidi</w:t>
            </w:r>
            <w:r w:rsidR="007469E3" w:rsidRPr="008048D3">
              <w:rPr>
                <w:rFonts w:ascii="Verdana" w:hAnsi="Verdana"/>
                <w:sz w:val="16"/>
                <w:szCs w:val="16"/>
                <w:lang w:val="lt-LT"/>
              </w:rPr>
              <w:t>jų</w:t>
            </w:r>
            <w:r w:rsidR="00D43A5E" w:rsidRPr="008048D3">
              <w:rPr>
                <w:rFonts w:ascii="Verdana" w:hAnsi="Verdana"/>
                <w:sz w:val="16"/>
                <w:szCs w:val="16"/>
                <w:lang w:val="lt-LT"/>
              </w:rPr>
              <w:t>.</w:t>
            </w:r>
            <w:r w:rsidR="00136811" w:rsidRPr="008048D3">
              <w:rPr>
                <w:rFonts w:ascii="Verdana" w:hAnsi="Verdana"/>
                <w:sz w:val="16"/>
                <w:szCs w:val="16"/>
                <w:lang w:val="lt-LT"/>
              </w:rPr>
              <w:t xml:space="preserve"> </w:t>
            </w:r>
          </w:p>
          <w:p w14:paraId="28755054" w14:textId="77777777" w:rsidR="00D43A5E" w:rsidRPr="008048D3" w:rsidRDefault="00D43A5E" w:rsidP="00D43A5E">
            <w:pPr>
              <w:ind w:right="-32"/>
              <w:jc w:val="both"/>
              <w:rPr>
                <w:rFonts w:ascii="Verdana" w:hAnsi="Verdana"/>
                <w:sz w:val="16"/>
                <w:szCs w:val="16"/>
                <w:lang w:val="lt-LT"/>
              </w:rPr>
            </w:pPr>
          </w:p>
          <w:p w14:paraId="37975FD6" w14:textId="52F0E01A" w:rsidR="00D43A5E" w:rsidRPr="008048D3" w:rsidRDefault="00D43A5E" w:rsidP="00D43A5E">
            <w:pPr>
              <w:ind w:right="-32"/>
              <w:jc w:val="both"/>
              <w:rPr>
                <w:rFonts w:ascii="Verdana" w:hAnsi="Verdana"/>
                <w:sz w:val="16"/>
                <w:szCs w:val="16"/>
                <w:lang w:val="lt-LT"/>
              </w:rPr>
            </w:pPr>
            <w:r w:rsidRPr="008048D3">
              <w:rPr>
                <w:rFonts w:ascii="Verdana" w:hAnsi="Verdana"/>
                <w:b/>
                <w:sz w:val="16"/>
                <w:szCs w:val="16"/>
                <w:lang w:val="lt-LT"/>
              </w:rPr>
              <w:t>E</w:t>
            </w:r>
            <w:r w:rsidR="002729BE" w:rsidRPr="008048D3">
              <w:rPr>
                <w:rFonts w:ascii="Verdana" w:hAnsi="Verdana"/>
                <w:b/>
                <w:sz w:val="16"/>
                <w:szCs w:val="16"/>
                <w:lang w:val="lt-LT"/>
              </w:rPr>
              <w:t>S</w:t>
            </w:r>
            <w:r w:rsidRPr="008048D3">
              <w:rPr>
                <w:rFonts w:ascii="Verdana" w:hAnsi="Verdana"/>
                <w:b/>
                <w:sz w:val="16"/>
                <w:szCs w:val="16"/>
                <w:lang w:val="lt-LT"/>
              </w:rPr>
              <w:t xml:space="preserve"> subsidi</w:t>
            </w:r>
            <w:r w:rsidR="002729BE" w:rsidRPr="008048D3">
              <w:rPr>
                <w:rFonts w:ascii="Verdana" w:hAnsi="Verdana"/>
                <w:b/>
                <w:sz w:val="16"/>
                <w:szCs w:val="16"/>
                <w:lang w:val="lt-LT"/>
              </w:rPr>
              <w:t>jų pokyčiai</w:t>
            </w:r>
            <w:r w:rsidRPr="008048D3">
              <w:rPr>
                <w:rFonts w:ascii="Verdana" w:hAnsi="Verdana"/>
                <w:b/>
                <w:sz w:val="16"/>
                <w:szCs w:val="16"/>
                <w:lang w:val="lt-LT"/>
              </w:rPr>
              <w:t>.</w:t>
            </w:r>
            <w:r w:rsidRPr="008048D3">
              <w:rPr>
                <w:rFonts w:ascii="Verdana" w:hAnsi="Verdana"/>
                <w:sz w:val="16"/>
                <w:szCs w:val="16"/>
                <w:lang w:val="lt-LT"/>
              </w:rPr>
              <w:t xml:space="preserve"> </w:t>
            </w:r>
            <w:r w:rsidR="003B7C16" w:rsidRPr="008048D3">
              <w:rPr>
                <w:rFonts w:ascii="Verdana" w:hAnsi="Verdana"/>
                <w:sz w:val="16"/>
                <w:szCs w:val="16"/>
                <w:lang w:val="lt-LT"/>
              </w:rPr>
              <w:t xml:space="preserve">Emitentas gauna reikšmingas pajamas iš </w:t>
            </w:r>
            <w:r w:rsidRPr="008048D3">
              <w:rPr>
                <w:rFonts w:ascii="Verdana" w:hAnsi="Verdana"/>
                <w:sz w:val="16"/>
                <w:szCs w:val="16"/>
                <w:lang w:val="lt-LT"/>
              </w:rPr>
              <w:t>E</w:t>
            </w:r>
            <w:r w:rsidR="003B7C16" w:rsidRPr="008048D3">
              <w:rPr>
                <w:rFonts w:ascii="Verdana" w:hAnsi="Verdana"/>
                <w:sz w:val="16"/>
                <w:szCs w:val="16"/>
                <w:lang w:val="lt-LT"/>
              </w:rPr>
              <w:t>S</w:t>
            </w:r>
            <w:r w:rsidRPr="008048D3">
              <w:rPr>
                <w:rFonts w:ascii="Verdana" w:hAnsi="Verdana"/>
                <w:sz w:val="16"/>
                <w:szCs w:val="16"/>
                <w:lang w:val="lt-LT"/>
              </w:rPr>
              <w:t xml:space="preserve"> subsidi</w:t>
            </w:r>
            <w:r w:rsidR="003B7C16" w:rsidRPr="008048D3">
              <w:rPr>
                <w:rFonts w:ascii="Verdana" w:hAnsi="Verdana"/>
                <w:sz w:val="16"/>
                <w:szCs w:val="16"/>
                <w:lang w:val="lt-LT"/>
              </w:rPr>
              <w:t>jų ir tai svarbu veiklos tęstinumui užtikrinti</w:t>
            </w:r>
            <w:r w:rsidRPr="008048D3">
              <w:rPr>
                <w:rFonts w:ascii="Verdana" w:hAnsi="Verdana"/>
                <w:sz w:val="16"/>
                <w:szCs w:val="16"/>
                <w:lang w:val="lt-LT"/>
              </w:rPr>
              <w:t xml:space="preserve">. </w:t>
            </w:r>
            <w:r w:rsidR="003B7C16" w:rsidRPr="008048D3">
              <w:rPr>
                <w:rFonts w:ascii="Verdana" w:hAnsi="Verdana"/>
                <w:sz w:val="16"/>
                <w:szCs w:val="16"/>
                <w:lang w:val="lt-LT"/>
              </w:rPr>
              <w:t>Jei dėl kokios nors priežasties šios subsidijos būtų nutrauktos arba sumažintos</w:t>
            </w:r>
            <w:r w:rsidRPr="008048D3">
              <w:rPr>
                <w:rFonts w:ascii="Verdana" w:hAnsi="Verdana"/>
                <w:sz w:val="16"/>
                <w:szCs w:val="16"/>
                <w:lang w:val="lt-LT"/>
              </w:rPr>
              <w:t xml:space="preserve">, </w:t>
            </w:r>
            <w:r w:rsidR="003B7C16" w:rsidRPr="008048D3">
              <w:rPr>
                <w:rFonts w:ascii="Verdana" w:hAnsi="Verdana"/>
                <w:sz w:val="16"/>
                <w:szCs w:val="16"/>
                <w:lang w:val="lt-LT"/>
              </w:rPr>
              <w:t>tai galėtų turėti reikšmingų pasekmių daugeliu</w:t>
            </w:r>
            <w:r w:rsidR="002B1A5F" w:rsidRPr="008048D3">
              <w:rPr>
                <w:rFonts w:ascii="Verdana" w:hAnsi="Verdana"/>
                <w:sz w:val="16"/>
                <w:szCs w:val="16"/>
                <w:lang w:val="lt-LT"/>
              </w:rPr>
              <w:t>i</w:t>
            </w:r>
            <w:r w:rsidR="003B7C16" w:rsidRPr="008048D3">
              <w:rPr>
                <w:rFonts w:ascii="Verdana" w:hAnsi="Verdana"/>
                <w:sz w:val="16"/>
                <w:szCs w:val="16"/>
                <w:lang w:val="lt-LT"/>
              </w:rPr>
              <w:t xml:space="preserve"> Emitento veiklos sričių, įskaitant </w:t>
            </w:r>
            <w:r w:rsidRPr="008048D3">
              <w:rPr>
                <w:rFonts w:ascii="Verdana" w:hAnsi="Verdana"/>
                <w:sz w:val="16"/>
                <w:szCs w:val="16"/>
                <w:lang w:val="lt-LT"/>
              </w:rPr>
              <w:t xml:space="preserve">(i) </w:t>
            </w:r>
            <w:r w:rsidR="003B7C16" w:rsidRPr="008048D3">
              <w:rPr>
                <w:rFonts w:ascii="Verdana" w:hAnsi="Verdana"/>
                <w:sz w:val="16"/>
                <w:szCs w:val="16"/>
                <w:lang w:val="lt-LT"/>
              </w:rPr>
              <w:t>sumažėjusius pagrindinės veiklos pinigų srautus ir pelningumą</w:t>
            </w:r>
            <w:r w:rsidRPr="008048D3">
              <w:rPr>
                <w:rFonts w:ascii="Verdana" w:hAnsi="Verdana"/>
                <w:sz w:val="16"/>
                <w:szCs w:val="16"/>
                <w:lang w:val="lt-LT"/>
              </w:rPr>
              <w:t xml:space="preserve">, </w:t>
            </w:r>
            <w:r w:rsidR="003B7C16" w:rsidRPr="008048D3">
              <w:rPr>
                <w:rFonts w:ascii="Verdana" w:hAnsi="Verdana"/>
                <w:sz w:val="16"/>
                <w:szCs w:val="16"/>
                <w:lang w:val="lt-LT"/>
              </w:rPr>
              <w:t xml:space="preserve">ir </w:t>
            </w:r>
            <w:r w:rsidRPr="008048D3">
              <w:rPr>
                <w:rFonts w:ascii="Verdana" w:hAnsi="Verdana"/>
                <w:sz w:val="16"/>
                <w:szCs w:val="16"/>
                <w:lang w:val="lt-LT"/>
              </w:rPr>
              <w:t xml:space="preserve">(ii) </w:t>
            </w:r>
            <w:r w:rsidR="003B7C16" w:rsidRPr="008048D3">
              <w:rPr>
                <w:rFonts w:ascii="Verdana" w:hAnsi="Verdana"/>
                <w:sz w:val="16"/>
                <w:szCs w:val="16"/>
                <w:lang w:val="lt-LT"/>
              </w:rPr>
              <w:t>sumažėjusią žemės ir investicinio turto vertę, tuo pačiu ir galimą n</w:t>
            </w:r>
            <w:r w:rsidR="003B7C16" w:rsidRPr="008048D3">
              <w:rPr>
                <w:rFonts w:ascii="Verdana" w:hAnsi="Verdana" w:cs="Calibri"/>
                <w:color w:val="000000"/>
                <w:sz w:val="16"/>
                <w:szCs w:val="16"/>
                <w:lang w:val="lt-LT" w:eastAsia="et-EE"/>
              </w:rPr>
              <w:t>ekilnojamojo turto, įrangos ir įrengimų vertės sumažėjimą</w:t>
            </w:r>
            <w:r w:rsidRPr="008048D3">
              <w:rPr>
                <w:rFonts w:ascii="Verdana" w:hAnsi="Verdana"/>
                <w:sz w:val="16"/>
                <w:szCs w:val="16"/>
                <w:lang w:val="lt-LT"/>
              </w:rPr>
              <w:t xml:space="preserve">. </w:t>
            </w:r>
            <w:r w:rsidR="003B7C16" w:rsidRPr="008048D3">
              <w:rPr>
                <w:rFonts w:ascii="Verdana" w:hAnsi="Verdana"/>
                <w:sz w:val="16"/>
                <w:szCs w:val="16"/>
                <w:lang w:val="lt-LT"/>
              </w:rPr>
              <w:t>Reikšmingi ES subsidijų programų pokyčiai taip pat galėtų kelti grėsmę ilgalaikiam Emitento veiklos tęstinumui</w:t>
            </w:r>
            <w:r w:rsidRPr="008048D3">
              <w:rPr>
                <w:rFonts w:ascii="Verdana" w:hAnsi="Verdana"/>
                <w:sz w:val="16"/>
                <w:szCs w:val="16"/>
                <w:lang w:val="lt-LT"/>
              </w:rPr>
              <w:t xml:space="preserve">.   </w:t>
            </w:r>
          </w:p>
          <w:p w14:paraId="45446CDC" w14:textId="77777777" w:rsidR="00D43A5E" w:rsidRPr="008048D3" w:rsidRDefault="00D43A5E" w:rsidP="00D43A5E">
            <w:pPr>
              <w:ind w:right="-32"/>
              <w:jc w:val="both"/>
              <w:rPr>
                <w:rFonts w:ascii="Verdana" w:hAnsi="Verdana"/>
                <w:b/>
                <w:sz w:val="16"/>
                <w:szCs w:val="16"/>
                <w:lang w:val="lt-LT"/>
              </w:rPr>
            </w:pPr>
          </w:p>
          <w:p w14:paraId="5BFEBC7F" w14:textId="78646DAE" w:rsidR="008F65F5" w:rsidRPr="008048D3" w:rsidRDefault="00E74712" w:rsidP="00717641">
            <w:pPr>
              <w:jc w:val="both"/>
              <w:rPr>
                <w:rFonts w:ascii="Verdana" w:hAnsi="Verdana" w:cs="Arial"/>
                <w:sz w:val="16"/>
                <w:szCs w:val="16"/>
                <w:lang w:val="lt-LT"/>
              </w:rPr>
            </w:pPr>
            <w:r w:rsidRPr="008048D3">
              <w:rPr>
                <w:rFonts w:ascii="Verdana" w:hAnsi="Verdana"/>
                <w:b/>
                <w:sz w:val="16"/>
                <w:szCs w:val="16"/>
                <w:lang w:val="lt-LT"/>
              </w:rPr>
              <w:t>Aiškiai numatomi arba numanomi pavojai, susiję su Grupės siūlomų produktų kokybe, sauga arba poveikiu sveikatai, gali užtraukti Grupei atsakomybę ir neigiamai paveikti jos verslą ir reputaciją</w:t>
            </w:r>
            <w:r w:rsidR="00D43A5E" w:rsidRPr="008048D3">
              <w:rPr>
                <w:rFonts w:ascii="Verdana" w:hAnsi="Verdana"/>
                <w:b/>
                <w:sz w:val="16"/>
                <w:szCs w:val="16"/>
                <w:lang w:val="lt-LT"/>
              </w:rPr>
              <w:t xml:space="preserve">. </w:t>
            </w:r>
            <w:r w:rsidR="00D43A5E" w:rsidRPr="008048D3">
              <w:rPr>
                <w:rFonts w:ascii="Verdana" w:hAnsi="Verdana"/>
                <w:sz w:val="16"/>
                <w:szCs w:val="16"/>
                <w:lang w:val="lt-LT"/>
              </w:rPr>
              <w:t>N</w:t>
            </w:r>
            <w:r w:rsidR="00131951" w:rsidRPr="008048D3">
              <w:rPr>
                <w:rFonts w:ascii="Verdana" w:hAnsi="Verdana"/>
                <w:sz w:val="16"/>
                <w:szCs w:val="16"/>
                <w:lang w:val="lt-LT"/>
              </w:rPr>
              <w:t>epaisant Grupės savo veikloje taikomų kontrolės mechanizmų</w:t>
            </w:r>
            <w:r w:rsidR="00D43A5E" w:rsidRPr="008048D3">
              <w:rPr>
                <w:rFonts w:ascii="Verdana" w:hAnsi="Verdana"/>
                <w:sz w:val="16"/>
                <w:szCs w:val="16"/>
                <w:lang w:val="lt-LT"/>
              </w:rPr>
              <w:t xml:space="preserve">, </w:t>
            </w:r>
            <w:r w:rsidR="00131951" w:rsidRPr="008048D3">
              <w:rPr>
                <w:rFonts w:ascii="Verdana" w:hAnsi="Verdana"/>
                <w:sz w:val="16"/>
                <w:szCs w:val="16"/>
                <w:lang w:val="lt-LT"/>
              </w:rPr>
              <w:t>nėra jokios garantijos, kad kurie nors Grupės pard</w:t>
            </w:r>
            <w:r w:rsidR="002B1A5F" w:rsidRPr="008048D3">
              <w:rPr>
                <w:rFonts w:ascii="Verdana" w:hAnsi="Verdana"/>
                <w:sz w:val="16"/>
                <w:szCs w:val="16"/>
                <w:lang w:val="lt-LT"/>
              </w:rPr>
              <w:t xml:space="preserve">uodami </w:t>
            </w:r>
            <w:r w:rsidR="00131951" w:rsidRPr="008048D3">
              <w:rPr>
                <w:rFonts w:ascii="Verdana" w:hAnsi="Verdana"/>
                <w:sz w:val="16"/>
                <w:szCs w:val="16"/>
                <w:lang w:val="lt-LT"/>
              </w:rPr>
              <w:t xml:space="preserve">produktai </w:t>
            </w:r>
            <w:r w:rsidR="00D43A5E" w:rsidRPr="008048D3">
              <w:rPr>
                <w:rFonts w:ascii="Verdana" w:hAnsi="Verdana"/>
                <w:sz w:val="16"/>
                <w:szCs w:val="16"/>
                <w:lang w:val="lt-LT"/>
              </w:rPr>
              <w:t>(</w:t>
            </w:r>
            <w:r w:rsidR="00131951" w:rsidRPr="008048D3">
              <w:rPr>
                <w:rFonts w:ascii="Verdana" w:hAnsi="Verdana"/>
                <w:sz w:val="16"/>
                <w:szCs w:val="16"/>
                <w:lang w:val="lt-LT"/>
              </w:rPr>
              <w:t>pienas</w:t>
            </w:r>
            <w:r w:rsidR="00D43A5E" w:rsidRPr="008048D3">
              <w:rPr>
                <w:rFonts w:ascii="Verdana" w:hAnsi="Verdana"/>
                <w:sz w:val="16"/>
                <w:szCs w:val="16"/>
                <w:lang w:val="lt-LT"/>
              </w:rPr>
              <w:t xml:space="preserve">, </w:t>
            </w:r>
            <w:r w:rsidR="00131951" w:rsidRPr="008048D3">
              <w:rPr>
                <w:rFonts w:ascii="Verdana" w:hAnsi="Verdana"/>
                <w:sz w:val="16"/>
                <w:szCs w:val="16"/>
                <w:lang w:val="lt-LT"/>
              </w:rPr>
              <w:t>grūdinės kultūros</w:t>
            </w:r>
            <w:r w:rsidR="00D43A5E" w:rsidRPr="008048D3">
              <w:rPr>
                <w:rFonts w:ascii="Verdana" w:hAnsi="Verdana"/>
                <w:sz w:val="16"/>
                <w:szCs w:val="16"/>
                <w:lang w:val="lt-LT"/>
              </w:rPr>
              <w:t xml:space="preserve">, </w:t>
            </w:r>
            <w:r w:rsidR="00131951" w:rsidRPr="008048D3">
              <w:rPr>
                <w:rFonts w:ascii="Verdana" w:hAnsi="Verdana"/>
                <w:sz w:val="16"/>
                <w:szCs w:val="16"/>
                <w:lang w:val="lt-LT"/>
              </w:rPr>
              <w:t>grybai ir kt.</w:t>
            </w:r>
            <w:r w:rsidR="00D43A5E" w:rsidRPr="008048D3">
              <w:rPr>
                <w:rFonts w:ascii="Verdana" w:hAnsi="Verdana"/>
                <w:sz w:val="16"/>
                <w:szCs w:val="16"/>
                <w:lang w:val="lt-LT"/>
              </w:rPr>
              <w:t xml:space="preserve">) </w:t>
            </w:r>
            <w:r w:rsidR="00131951" w:rsidRPr="008048D3">
              <w:rPr>
                <w:rFonts w:ascii="Verdana" w:hAnsi="Verdana"/>
                <w:sz w:val="16"/>
                <w:szCs w:val="16"/>
                <w:lang w:val="lt-LT"/>
              </w:rPr>
              <w:t>negalėtų būti pripažinti neatitinkančiais kokybės reikalavimų arba netinkančiais tolesniam perdirbimui ir naudojimui</w:t>
            </w:r>
            <w:r w:rsidR="00D43A5E" w:rsidRPr="008048D3">
              <w:rPr>
                <w:rFonts w:ascii="Verdana" w:hAnsi="Verdana"/>
                <w:sz w:val="16"/>
                <w:szCs w:val="16"/>
                <w:lang w:val="lt-LT"/>
              </w:rPr>
              <w:t>. T</w:t>
            </w:r>
            <w:r w:rsidR="00131951" w:rsidRPr="008048D3">
              <w:rPr>
                <w:rFonts w:ascii="Verdana" w:hAnsi="Verdana"/>
                <w:sz w:val="16"/>
                <w:szCs w:val="16"/>
                <w:lang w:val="lt-LT"/>
              </w:rPr>
              <w:t xml:space="preserve">odėl </w:t>
            </w:r>
            <w:r w:rsidR="00D43A5E" w:rsidRPr="008048D3">
              <w:rPr>
                <w:rFonts w:ascii="Verdana" w:hAnsi="Verdana"/>
                <w:sz w:val="16"/>
                <w:szCs w:val="16"/>
                <w:lang w:val="lt-LT"/>
              </w:rPr>
              <w:t>Grup</w:t>
            </w:r>
            <w:r w:rsidR="00131951" w:rsidRPr="008048D3">
              <w:rPr>
                <w:rFonts w:ascii="Verdana" w:hAnsi="Verdana"/>
                <w:sz w:val="16"/>
                <w:szCs w:val="16"/>
                <w:lang w:val="lt-LT"/>
              </w:rPr>
              <w:t>ė</w:t>
            </w:r>
            <w:r w:rsidR="00D43A5E" w:rsidRPr="008048D3">
              <w:rPr>
                <w:rFonts w:ascii="Verdana" w:hAnsi="Verdana"/>
                <w:sz w:val="16"/>
                <w:szCs w:val="16"/>
                <w:lang w:val="lt-LT"/>
              </w:rPr>
              <w:t xml:space="preserve"> </w:t>
            </w:r>
            <w:r w:rsidR="00131951" w:rsidRPr="008048D3">
              <w:rPr>
                <w:rFonts w:ascii="Verdana" w:hAnsi="Verdana"/>
                <w:sz w:val="16"/>
                <w:szCs w:val="16"/>
                <w:lang w:val="lt-LT"/>
              </w:rPr>
              <w:t>gali būti priversta atšaukti iš rinkos arba sunaikinti šiuos žemės ūkio produktus ir prisiimti atsakomybę už šių produktų vartotojų sveikatai sukeltą riziką</w:t>
            </w:r>
            <w:r w:rsidR="00D43A5E" w:rsidRPr="008048D3">
              <w:rPr>
                <w:rFonts w:ascii="Verdana" w:hAnsi="Verdana"/>
                <w:sz w:val="16"/>
                <w:szCs w:val="16"/>
                <w:lang w:val="lt-LT"/>
              </w:rPr>
              <w:t xml:space="preserve">. </w:t>
            </w:r>
          </w:p>
        </w:tc>
      </w:tr>
      <w:tr w:rsidR="008F65F5" w:rsidRPr="00CD3453" w14:paraId="466F5AD7" w14:textId="77777777" w:rsidTr="00CA53A5">
        <w:tc>
          <w:tcPr>
            <w:tcW w:w="303" w:type="pct"/>
            <w:gridSpan w:val="2"/>
            <w:tcBorders>
              <w:bottom w:val="single" w:sz="4" w:space="0" w:color="808080"/>
            </w:tcBorders>
          </w:tcPr>
          <w:p w14:paraId="44E0149E" w14:textId="77777777" w:rsidR="008F65F5" w:rsidRPr="008048D3" w:rsidRDefault="008F65F5" w:rsidP="008F65F5">
            <w:pPr>
              <w:spacing w:after="40"/>
              <w:rPr>
                <w:rFonts w:ascii="Verdana" w:hAnsi="Verdana" w:cs="Arial"/>
                <w:sz w:val="16"/>
                <w:szCs w:val="16"/>
                <w:lang w:val="lt-LT"/>
              </w:rPr>
            </w:pPr>
            <w:r w:rsidRPr="008048D3">
              <w:rPr>
                <w:rFonts w:ascii="Verdana" w:hAnsi="Verdana" w:cs="Arial"/>
                <w:sz w:val="16"/>
                <w:szCs w:val="16"/>
                <w:lang w:val="lt-LT"/>
              </w:rPr>
              <w:lastRenderedPageBreak/>
              <w:t>D.3</w:t>
            </w:r>
          </w:p>
        </w:tc>
        <w:tc>
          <w:tcPr>
            <w:tcW w:w="606" w:type="pct"/>
            <w:tcBorders>
              <w:bottom w:val="single" w:sz="4" w:space="0" w:color="808080"/>
            </w:tcBorders>
          </w:tcPr>
          <w:p w14:paraId="6383C039" w14:textId="4736DA03" w:rsidR="008F65F5" w:rsidRPr="008048D3" w:rsidRDefault="00FB5A21" w:rsidP="008F65F5">
            <w:pPr>
              <w:spacing w:after="40"/>
              <w:rPr>
                <w:rFonts w:ascii="Verdana" w:hAnsi="Verdana" w:cs="Arial"/>
                <w:sz w:val="16"/>
                <w:szCs w:val="16"/>
                <w:lang w:val="lt-LT"/>
              </w:rPr>
            </w:pPr>
            <w:r w:rsidRPr="008048D3">
              <w:rPr>
                <w:rFonts w:ascii="Verdana" w:hAnsi="Verdana" w:cs="Arial"/>
                <w:sz w:val="16"/>
                <w:szCs w:val="16"/>
                <w:lang w:val="lt-LT"/>
              </w:rPr>
              <w:t xml:space="preserve">Pagrindinė rizika, būdinga Akcijoms  </w:t>
            </w:r>
          </w:p>
        </w:tc>
        <w:tc>
          <w:tcPr>
            <w:tcW w:w="4090" w:type="pct"/>
            <w:tcBorders>
              <w:bottom w:val="single" w:sz="4" w:space="0" w:color="808080"/>
            </w:tcBorders>
          </w:tcPr>
          <w:p w14:paraId="3E790E51" w14:textId="35927F53" w:rsidR="005E7716" w:rsidRPr="008048D3" w:rsidRDefault="00FB5A21" w:rsidP="00FB5A21">
            <w:pPr>
              <w:ind w:right="-32"/>
              <w:jc w:val="both"/>
              <w:rPr>
                <w:rFonts w:ascii="Verdana" w:hAnsi="Verdana"/>
                <w:sz w:val="16"/>
                <w:szCs w:val="16"/>
                <w:lang w:val="lt-LT"/>
              </w:rPr>
            </w:pPr>
            <w:r w:rsidRPr="008048D3">
              <w:rPr>
                <w:rFonts w:ascii="Verdana" w:hAnsi="Verdana"/>
                <w:b/>
                <w:sz w:val="16"/>
                <w:szCs w:val="16"/>
                <w:lang w:val="lt-LT"/>
              </w:rPr>
              <w:t>Emitento Akcijų kaina gali svyruoti.</w:t>
            </w:r>
            <w:r w:rsidRPr="008048D3">
              <w:rPr>
                <w:rFonts w:ascii="Verdana" w:hAnsi="Verdana"/>
                <w:sz w:val="16"/>
                <w:szCs w:val="16"/>
                <w:lang w:val="lt-LT"/>
              </w:rPr>
              <w:t xml:space="preserve"> Į reguliuojamos rinkos sąrašus įtrauktų Akcijų rinkos kaina priklauso nuo pasiūlos ir paklausos, kurios savo ruožtu priklauso nuo daugelio veiksnių, kurie gali būti tiek susiję, tiek nesusiję su Bendrovės veiklos rezultatais. Todėl Akcijų kaina gali kristi ir kilti</w:t>
            </w:r>
            <w:r w:rsidR="005E7716" w:rsidRPr="008048D3">
              <w:rPr>
                <w:rFonts w:ascii="Verdana" w:hAnsi="Verdana"/>
                <w:sz w:val="16"/>
                <w:szCs w:val="16"/>
                <w:lang w:val="lt-LT"/>
              </w:rPr>
              <w:t xml:space="preserve">, </w:t>
            </w:r>
            <w:r w:rsidRPr="008048D3">
              <w:rPr>
                <w:rFonts w:ascii="Verdana" w:hAnsi="Verdana"/>
                <w:sz w:val="16"/>
                <w:szCs w:val="16"/>
                <w:lang w:val="lt-LT"/>
              </w:rPr>
              <w:t xml:space="preserve">dėl </w:t>
            </w:r>
            <w:r w:rsidR="005B51D9" w:rsidRPr="008048D3">
              <w:rPr>
                <w:rFonts w:ascii="Verdana" w:hAnsi="Verdana"/>
                <w:sz w:val="16"/>
                <w:szCs w:val="16"/>
                <w:lang w:val="lt-LT"/>
              </w:rPr>
              <w:t xml:space="preserve">ko </w:t>
            </w:r>
            <w:r w:rsidRPr="008048D3">
              <w:rPr>
                <w:rFonts w:ascii="Verdana" w:hAnsi="Verdana"/>
                <w:sz w:val="16"/>
                <w:szCs w:val="16"/>
                <w:lang w:val="lt-LT"/>
              </w:rPr>
              <w:t>akcininkai gali patirti nuostolių</w:t>
            </w:r>
            <w:r w:rsidR="005E7716" w:rsidRPr="008048D3">
              <w:rPr>
                <w:rFonts w:ascii="Verdana" w:hAnsi="Verdana"/>
                <w:sz w:val="16"/>
                <w:szCs w:val="16"/>
                <w:lang w:val="lt-LT"/>
              </w:rPr>
              <w:t xml:space="preserve">. </w:t>
            </w:r>
          </w:p>
          <w:p w14:paraId="04E73442" w14:textId="77777777" w:rsidR="005E7716" w:rsidRPr="008048D3" w:rsidRDefault="005E7716" w:rsidP="005E7716">
            <w:pPr>
              <w:ind w:right="-32"/>
              <w:jc w:val="both"/>
              <w:rPr>
                <w:rFonts w:ascii="Verdana" w:hAnsi="Verdana"/>
                <w:sz w:val="16"/>
                <w:szCs w:val="16"/>
                <w:lang w:val="lt-LT"/>
              </w:rPr>
            </w:pPr>
          </w:p>
          <w:p w14:paraId="452710B8" w14:textId="236139D0" w:rsidR="005E7716" w:rsidRPr="008048D3" w:rsidRDefault="001D7CD5" w:rsidP="005E7716">
            <w:pPr>
              <w:ind w:right="-32"/>
              <w:jc w:val="both"/>
              <w:rPr>
                <w:rFonts w:ascii="Verdana" w:hAnsi="Verdana"/>
                <w:sz w:val="16"/>
                <w:szCs w:val="16"/>
                <w:lang w:val="lt-LT"/>
              </w:rPr>
            </w:pPr>
            <w:r w:rsidRPr="008048D3">
              <w:rPr>
                <w:rFonts w:ascii="Verdana" w:hAnsi="Verdana"/>
                <w:b/>
                <w:sz w:val="16"/>
                <w:szCs w:val="16"/>
                <w:lang w:val="lt-LT"/>
              </w:rPr>
              <w:t>Sąmyšis akcijų rinkose gali turėti neigiamos įtakos Akcijų vertei.</w:t>
            </w:r>
            <w:r w:rsidRPr="008048D3">
              <w:rPr>
                <w:rFonts w:ascii="Verdana" w:hAnsi="Verdana"/>
                <w:sz w:val="16"/>
                <w:szCs w:val="16"/>
                <w:lang w:val="lt-LT"/>
              </w:rPr>
              <w:t xml:space="preserve"> Finansinis arba kitoks sąmyšis akcijų rinkose praeityje neigiamai veikė kainas pasaulio vertybinių popierių rinkose, kalbant apie bendroves, kurios veikia visuose sektoriuose ir visose ekonomikose. Niekas negali garantuoti, kad</w:t>
            </w:r>
            <w:r w:rsidR="00536A92" w:rsidRPr="008048D3">
              <w:rPr>
                <w:rFonts w:ascii="Verdana" w:hAnsi="Verdana"/>
                <w:sz w:val="16"/>
                <w:szCs w:val="16"/>
                <w:lang w:val="lt-LT"/>
              </w:rPr>
              <w:t>, atsinaujinus</w:t>
            </w:r>
            <w:r w:rsidRPr="008048D3">
              <w:rPr>
                <w:rFonts w:ascii="Verdana" w:hAnsi="Verdana"/>
                <w:sz w:val="16"/>
                <w:szCs w:val="16"/>
                <w:lang w:val="lt-LT"/>
              </w:rPr>
              <w:t xml:space="preserve"> rinkų kintamumui</w:t>
            </w:r>
            <w:r w:rsidR="00536A92" w:rsidRPr="008048D3">
              <w:rPr>
                <w:rFonts w:ascii="Verdana" w:hAnsi="Verdana"/>
                <w:sz w:val="16"/>
                <w:szCs w:val="16"/>
                <w:lang w:val="lt-LT"/>
              </w:rPr>
              <w:t>,</w:t>
            </w:r>
            <w:r w:rsidRPr="008048D3">
              <w:rPr>
                <w:rFonts w:ascii="Verdana" w:hAnsi="Verdana"/>
                <w:sz w:val="16"/>
                <w:szCs w:val="16"/>
                <w:lang w:val="lt-LT"/>
              </w:rPr>
              <w:t xml:space="preserve"> būsim</w:t>
            </w:r>
            <w:r w:rsidR="00536A92" w:rsidRPr="008048D3">
              <w:rPr>
                <w:rFonts w:ascii="Verdana" w:hAnsi="Verdana"/>
                <w:sz w:val="16"/>
                <w:szCs w:val="16"/>
                <w:lang w:val="lt-LT"/>
              </w:rPr>
              <w:t>as</w:t>
            </w:r>
            <w:r w:rsidRPr="008048D3">
              <w:rPr>
                <w:rFonts w:ascii="Verdana" w:hAnsi="Verdana"/>
                <w:sz w:val="16"/>
                <w:szCs w:val="16"/>
                <w:lang w:val="lt-LT"/>
              </w:rPr>
              <w:t xml:space="preserve"> finansini</w:t>
            </w:r>
            <w:r w:rsidR="00536A92" w:rsidRPr="008048D3">
              <w:rPr>
                <w:rFonts w:ascii="Verdana" w:hAnsi="Verdana"/>
                <w:sz w:val="16"/>
                <w:szCs w:val="16"/>
                <w:lang w:val="lt-LT"/>
              </w:rPr>
              <w:t>s</w:t>
            </w:r>
            <w:r w:rsidRPr="008048D3">
              <w:rPr>
                <w:rFonts w:ascii="Verdana" w:hAnsi="Verdana"/>
                <w:sz w:val="16"/>
                <w:szCs w:val="16"/>
                <w:lang w:val="lt-LT"/>
              </w:rPr>
              <w:t xml:space="preserve"> sąmyši</w:t>
            </w:r>
            <w:r w:rsidR="00536A92" w:rsidRPr="008048D3">
              <w:rPr>
                <w:rFonts w:ascii="Verdana" w:hAnsi="Verdana"/>
                <w:sz w:val="16"/>
                <w:szCs w:val="16"/>
                <w:lang w:val="lt-LT"/>
              </w:rPr>
              <w:t>s</w:t>
            </w:r>
            <w:r w:rsidRPr="008048D3">
              <w:rPr>
                <w:rFonts w:ascii="Verdana" w:hAnsi="Verdana"/>
                <w:sz w:val="16"/>
                <w:szCs w:val="16"/>
                <w:lang w:val="lt-LT"/>
              </w:rPr>
              <w:t xml:space="preserve"> arba kit</w:t>
            </w:r>
            <w:r w:rsidR="00536A92" w:rsidRPr="008048D3">
              <w:rPr>
                <w:rFonts w:ascii="Verdana" w:hAnsi="Verdana"/>
                <w:sz w:val="16"/>
                <w:szCs w:val="16"/>
                <w:lang w:val="lt-LT"/>
              </w:rPr>
              <w:t>i</w:t>
            </w:r>
            <w:r w:rsidRPr="008048D3">
              <w:rPr>
                <w:rFonts w:ascii="Verdana" w:hAnsi="Verdana"/>
                <w:sz w:val="16"/>
                <w:szCs w:val="16"/>
                <w:lang w:val="lt-LT"/>
              </w:rPr>
              <w:t xml:space="preserve"> veiksni</w:t>
            </w:r>
            <w:r w:rsidR="00536A92" w:rsidRPr="008048D3">
              <w:rPr>
                <w:rFonts w:ascii="Verdana" w:hAnsi="Verdana"/>
                <w:sz w:val="16"/>
                <w:szCs w:val="16"/>
                <w:lang w:val="lt-LT"/>
              </w:rPr>
              <w:t>ai</w:t>
            </w:r>
            <w:r w:rsidRPr="008048D3">
              <w:rPr>
                <w:rFonts w:ascii="Verdana" w:hAnsi="Verdana"/>
                <w:sz w:val="16"/>
                <w:szCs w:val="16"/>
                <w:lang w:val="lt-LT"/>
              </w:rPr>
              <w:t>, toki</w:t>
            </w:r>
            <w:r w:rsidR="00536A92" w:rsidRPr="008048D3">
              <w:rPr>
                <w:rFonts w:ascii="Verdana" w:hAnsi="Verdana"/>
                <w:sz w:val="16"/>
                <w:szCs w:val="16"/>
                <w:lang w:val="lt-LT"/>
              </w:rPr>
              <w:t>e</w:t>
            </w:r>
            <w:r w:rsidRPr="008048D3">
              <w:rPr>
                <w:rFonts w:ascii="Verdana" w:hAnsi="Verdana"/>
                <w:sz w:val="16"/>
                <w:szCs w:val="16"/>
                <w:lang w:val="lt-LT"/>
              </w:rPr>
              <w:t xml:space="preserve"> kaip </w:t>
            </w:r>
            <w:r w:rsidR="005E7716" w:rsidRPr="008048D3">
              <w:rPr>
                <w:rFonts w:ascii="Verdana" w:hAnsi="Verdana"/>
                <w:sz w:val="16"/>
                <w:szCs w:val="16"/>
                <w:lang w:val="lt-LT"/>
              </w:rPr>
              <w:t>politi</w:t>
            </w:r>
            <w:r w:rsidRPr="008048D3">
              <w:rPr>
                <w:rFonts w:ascii="Verdana" w:hAnsi="Verdana"/>
                <w:sz w:val="16"/>
                <w:szCs w:val="16"/>
                <w:lang w:val="lt-LT"/>
              </w:rPr>
              <w:t>niai neramumai</w:t>
            </w:r>
            <w:r w:rsidR="005E7716" w:rsidRPr="008048D3">
              <w:rPr>
                <w:rFonts w:ascii="Verdana" w:hAnsi="Verdana"/>
                <w:sz w:val="16"/>
                <w:szCs w:val="16"/>
                <w:lang w:val="lt-LT"/>
              </w:rPr>
              <w:t xml:space="preserve">, </w:t>
            </w:r>
            <w:r w:rsidRPr="008048D3">
              <w:rPr>
                <w:rFonts w:ascii="Verdana" w:hAnsi="Verdana"/>
                <w:sz w:val="16"/>
                <w:szCs w:val="16"/>
                <w:lang w:val="lt-LT"/>
              </w:rPr>
              <w:t>kuri gali kilti vietinėse ir (arba) kitose rinkose, neturės neigiamos įtakos Akcijų vertei</w:t>
            </w:r>
            <w:r w:rsidR="005E7716" w:rsidRPr="008048D3">
              <w:rPr>
                <w:rFonts w:ascii="Verdana" w:hAnsi="Verdana"/>
                <w:sz w:val="16"/>
                <w:szCs w:val="16"/>
                <w:lang w:val="lt-LT"/>
              </w:rPr>
              <w:t>.</w:t>
            </w:r>
          </w:p>
          <w:p w14:paraId="06B92DC7" w14:textId="77777777" w:rsidR="005E7716" w:rsidRPr="008048D3" w:rsidRDefault="005E7716" w:rsidP="005E7716">
            <w:pPr>
              <w:ind w:right="-32"/>
              <w:jc w:val="both"/>
              <w:rPr>
                <w:rFonts w:ascii="Verdana" w:hAnsi="Verdana"/>
                <w:sz w:val="16"/>
                <w:szCs w:val="16"/>
                <w:lang w:val="lt-LT"/>
              </w:rPr>
            </w:pPr>
          </w:p>
          <w:p w14:paraId="05DDA4A3" w14:textId="046BF277" w:rsidR="005E7716" w:rsidRPr="008048D3" w:rsidRDefault="005E7716" w:rsidP="005E7716">
            <w:pPr>
              <w:ind w:right="-32"/>
              <w:jc w:val="both"/>
              <w:rPr>
                <w:rFonts w:ascii="Verdana" w:hAnsi="Verdana"/>
                <w:sz w:val="16"/>
                <w:szCs w:val="16"/>
                <w:lang w:val="lt-LT"/>
              </w:rPr>
            </w:pPr>
            <w:r w:rsidRPr="008048D3">
              <w:rPr>
                <w:rFonts w:ascii="Verdana" w:hAnsi="Verdana"/>
                <w:b/>
                <w:sz w:val="16"/>
                <w:szCs w:val="16"/>
                <w:lang w:val="lt-LT"/>
              </w:rPr>
              <w:t>Plan</w:t>
            </w:r>
            <w:r w:rsidR="001F6BDB" w:rsidRPr="008048D3">
              <w:rPr>
                <w:rFonts w:ascii="Verdana" w:hAnsi="Verdana"/>
                <w:b/>
                <w:sz w:val="16"/>
                <w:szCs w:val="16"/>
                <w:lang w:val="lt-LT"/>
              </w:rPr>
              <w:t xml:space="preserve">uojamas Akcijų skaičiaus padidinimas </w:t>
            </w:r>
            <w:r w:rsidR="001B3F9D" w:rsidRPr="008048D3">
              <w:rPr>
                <w:rFonts w:ascii="Verdana" w:hAnsi="Verdana"/>
                <w:b/>
                <w:sz w:val="16"/>
                <w:szCs w:val="16"/>
                <w:lang w:val="lt-LT"/>
              </w:rPr>
              <w:t xml:space="preserve">gali sumažinti jų kainą ir sumažinti esamų akcininkų, kurie nedalyvauja pasirašant Siūlomas akcijas, turimų akcijų paketų </w:t>
            </w:r>
            <w:r w:rsidR="000005FD" w:rsidRPr="008048D3">
              <w:rPr>
                <w:rFonts w:ascii="Verdana" w:hAnsi="Verdana"/>
                <w:b/>
                <w:sz w:val="16"/>
                <w:szCs w:val="16"/>
                <w:lang w:val="lt-LT"/>
              </w:rPr>
              <w:t xml:space="preserve">procentinį </w:t>
            </w:r>
            <w:r w:rsidR="001B3F9D" w:rsidRPr="008048D3">
              <w:rPr>
                <w:rFonts w:ascii="Verdana" w:hAnsi="Verdana"/>
                <w:b/>
                <w:sz w:val="16"/>
                <w:szCs w:val="16"/>
                <w:lang w:val="lt-LT"/>
              </w:rPr>
              <w:t>dydį</w:t>
            </w:r>
            <w:r w:rsidRPr="008048D3">
              <w:rPr>
                <w:rFonts w:ascii="Verdana" w:hAnsi="Verdana"/>
                <w:b/>
                <w:sz w:val="16"/>
                <w:szCs w:val="16"/>
                <w:lang w:val="lt-LT"/>
              </w:rPr>
              <w:t>.</w:t>
            </w:r>
            <w:r w:rsidRPr="008048D3">
              <w:rPr>
                <w:rFonts w:ascii="Verdana" w:hAnsi="Verdana"/>
                <w:sz w:val="16"/>
                <w:szCs w:val="16"/>
                <w:lang w:val="lt-LT"/>
              </w:rPr>
              <w:t xml:space="preserve"> </w:t>
            </w:r>
            <w:r w:rsidR="001B3F9D" w:rsidRPr="008048D3">
              <w:rPr>
                <w:rFonts w:ascii="Verdana" w:hAnsi="Verdana"/>
                <w:sz w:val="16"/>
                <w:szCs w:val="16"/>
                <w:lang w:val="lt-LT"/>
              </w:rPr>
              <w:t>Emitento Akcijų skaičiau</w:t>
            </w:r>
            <w:r w:rsidR="00296588" w:rsidRPr="008048D3">
              <w:rPr>
                <w:rFonts w:ascii="Verdana" w:hAnsi="Verdana"/>
                <w:sz w:val="16"/>
                <w:szCs w:val="16"/>
                <w:lang w:val="lt-LT"/>
              </w:rPr>
              <w:t>s</w:t>
            </w:r>
            <w:r w:rsidR="001B3F9D" w:rsidRPr="008048D3">
              <w:rPr>
                <w:rFonts w:ascii="Verdana" w:hAnsi="Verdana"/>
                <w:sz w:val="16"/>
                <w:szCs w:val="16"/>
                <w:lang w:val="lt-LT"/>
              </w:rPr>
              <w:t xml:space="preserve"> padidėjimas gali turėti neigiamos įtakos jų kainai</w:t>
            </w:r>
            <w:r w:rsidRPr="008048D3">
              <w:rPr>
                <w:rFonts w:ascii="Verdana" w:hAnsi="Verdana"/>
                <w:sz w:val="16"/>
                <w:szCs w:val="16"/>
                <w:lang w:val="lt-LT"/>
              </w:rPr>
              <w:t xml:space="preserve">. </w:t>
            </w:r>
            <w:r w:rsidR="001B3F9D" w:rsidRPr="008048D3">
              <w:rPr>
                <w:rFonts w:ascii="Verdana" w:hAnsi="Verdana"/>
                <w:sz w:val="16"/>
                <w:szCs w:val="16"/>
                <w:lang w:val="lt-LT"/>
              </w:rPr>
              <w:t xml:space="preserve">Po Bendrovės </w:t>
            </w:r>
            <w:r w:rsidR="00296588" w:rsidRPr="008048D3">
              <w:rPr>
                <w:rFonts w:ascii="Verdana" w:hAnsi="Verdana"/>
                <w:sz w:val="16"/>
                <w:szCs w:val="16"/>
                <w:lang w:val="lt-LT"/>
              </w:rPr>
              <w:t xml:space="preserve">įstatinio </w:t>
            </w:r>
            <w:r w:rsidR="001B3F9D" w:rsidRPr="008048D3">
              <w:rPr>
                <w:rFonts w:ascii="Verdana" w:hAnsi="Verdana"/>
                <w:sz w:val="16"/>
                <w:szCs w:val="16"/>
                <w:lang w:val="lt-LT"/>
              </w:rPr>
              <w:t xml:space="preserve">kapitalo padidinimo </w:t>
            </w:r>
            <w:r w:rsidRPr="008048D3">
              <w:rPr>
                <w:rFonts w:ascii="Verdana" w:hAnsi="Verdana"/>
                <w:sz w:val="16"/>
                <w:szCs w:val="16"/>
                <w:lang w:val="lt-LT"/>
              </w:rPr>
              <w:t>(</w:t>
            </w:r>
            <w:r w:rsidR="001B3F9D" w:rsidRPr="008048D3">
              <w:rPr>
                <w:rFonts w:ascii="Verdana" w:hAnsi="Verdana"/>
                <w:sz w:val="16"/>
                <w:szCs w:val="16"/>
                <w:lang w:val="lt-LT"/>
              </w:rPr>
              <w:t xml:space="preserve">darant prielaidą, kad visos </w:t>
            </w:r>
            <w:r w:rsidR="00C15028" w:rsidRPr="008048D3">
              <w:rPr>
                <w:rFonts w:ascii="Verdana" w:hAnsi="Verdana" w:cs="Arial"/>
                <w:sz w:val="16"/>
                <w:szCs w:val="16"/>
                <w:lang w:val="lt-LT" w:eastAsia="pl-PL"/>
              </w:rPr>
              <w:t>4</w:t>
            </w:r>
            <w:r w:rsidRPr="008048D3">
              <w:rPr>
                <w:rFonts w:ascii="Verdana" w:hAnsi="Verdana" w:cs="Arial"/>
                <w:sz w:val="16"/>
                <w:szCs w:val="16"/>
                <w:lang w:val="lt-LT" w:eastAsia="pl-PL"/>
              </w:rPr>
              <w:t>0</w:t>
            </w:r>
            <w:r w:rsidR="001B3F9D" w:rsidRPr="008048D3">
              <w:rPr>
                <w:rFonts w:ascii="Verdana" w:hAnsi="Verdana" w:cs="Arial"/>
                <w:sz w:val="16"/>
                <w:szCs w:val="16"/>
                <w:lang w:val="lt-LT" w:eastAsia="pl-PL"/>
              </w:rPr>
              <w:t> </w:t>
            </w:r>
            <w:r w:rsidRPr="008048D3">
              <w:rPr>
                <w:rFonts w:ascii="Verdana" w:hAnsi="Verdana" w:cs="Arial"/>
                <w:sz w:val="16"/>
                <w:szCs w:val="16"/>
                <w:lang w:val="lt-LT" w:eastAsia="pl-PL"/>
              </w:rPr>
              <w:t>000</w:t>
            </w:r>
            <w:r w:rsidR="001B3F9D" w:rsidRPr="008048D3">
              <w:rPr>
                <w:rFonts w:ascii="Verdana" w:hAnsi="Verdana" w:cs="Arial"/>
                <w:sz w:val="16"/>
                <w:szCs w:val="16"/>
                <w:lang w:val="lt-LT" w:eastAsia="pl-PL"/>
              </w:rPr>
              <w:t xml:space="preserve"> </w:t>
            </w:r>
            <w:r w:rsidRPr="008048D3">
              <w:rPr>
                <w:rFonts w:ascii="Verdana" w:hAnsi="Verdana" w:cs="Arial"/>
                <w:sz w:val="16"/>
                <w:szCs w:val="16"/>
                <w:lang w:val="lt-LT" w:eastAsia="pl-PL"/>
              </w:rPr>
              <w:t>000</w:t>
            </w:r>
            <w:r w:rsidRPr="008048D3">
              <w:rPr>
                <w:rFonts w:ascii="Verdana" w:hAnsi="Verdana"/>
                <w:sz w:val="16"/>
                <w:szCs w:val="16"/>
                <w:lang w:val="lt-LT"/>
              </w:rPr>
              <w:t xml:space="preserve"> N</w:t>
            </w:r>
            <w:r w:rsidR="001B3F9D" w:rsidRPr="008048D3">
              <w:rPr>
                <w:rFonts w:ascii="Verdana" w:hAnsi="Verdana"/>
                <w:sz w:val="16"/>
                <w:szCs w:val="16"/>
                <w:lang w:val="lt-LT"/>
              </w:rPr>
              <w:t>aujų akcijų bus pasirašytos ir apmokėtos</w:t>
            </w:r>
            <w:r w:rsidRPr="008048D3">
              <w:rPr>
                <w:rFonts w:ascii="Verdana" w:hAnsi="Verdana"/>
                <w:sz w:val="16"/>
                <w:szCs w:val="16"/>
                <w:lang w:val="lt-LT"/>
              </w:rPr>
              <w:t xml:space="preserve">, </w:t>
            </w:r>
            <w:r w:rsidR="001B3F9D" w:rsidRPr="008048D3">
              <w:rPr>
                <w:rFonts w:ascii="Verdana" w:hAnsi="Verdana"/>
                <w:sz w:val="16"/>
                <w:szCs w:val="16"/>
                <w:lang w:val="lt-LT"/>
              </w:rPr>
              <w:t xml:space="preserve">taip pat kad </w:t>
            </w:r>
            <w:r w:rsidRPr="008048D3">
              <w:rPr>
                <w:rFonts w:ascii="Verdana" w:hAnsi="Verdana"/>
                <w:sz w:val="16"/>
                <w:szCs w:val="16"/>
                <w:lang w:val="lt-LT"/>
              </w:rPr>
              <w:t>n</w:t>
            </w:r>
            <w:r w:rsidR="001B3F9D" w:rsidRPr="008048D3">
              <w:rPr>
                <w:rFonts w:ascii="Verdana" w:hAnsi="Verdana"/>
                <w:sz w:val="16"/>
                <w:szCs w:val="16"/>
                <w:lang w:val="lt-LT"/>
              </w:rPr>
              <w:t xml:space="preserve">ė vienas iš esamų akcininkų neįsigis </w:t>
            </w:r>
            <w:r w:rsidR="00C15028" w:rsidRPr="008048D3">
              <w:rPr>
                <w:rFonts w:ascii="Verdana" w:hAnsi="Verdana"/>
                <w:sz w:val="16"/>
                <w:szCs w:val="16"/>
                <w:lang w:val="lt-LT"/>
              </w:rPr>
              <w:t>Naujų</w:t>
            </w:r>
            <w:r w:rsidR="001B3F9D" w:rsidRPr="008048D3">
              <w:rPr>
                <w:rFonts w:ascii="Verdana" w:hAnsi="Verdana"/>
                <w:sz w:val="16"/>
                <w:szCs w:val="16"/>
                <w:lang w:val="lt-LT"/>
              </w:rPr>
              <w:t xml:space="preserve"> akcijų</w:t>
            </w:r>
            <w:r w:rsidRPr="008048D3">
              <w:rPr>
                <w:rFonts w:ascii="Verdana" w:hAnsi="Verdana"/>
                <w:sz w:val="16"/>
                <w:szCs w:val="16"/>
                <w:lang w:val="lt-LT"/>
              </w:rPr>
              <w:t xml:space="preserve">), </w:t>
            </w:r>
            <w:r w:rsidR="001B3F9D" w:rsidRPr="008048D3">
              <w:rPr>
                <w:rFonts w:ascii="Verdana" w:hAnsi="Verdana"/>
                <w:sz w:val="16"/>
                <w:szCs w:val="16"/>
                <w:lang w:val="lt-LT"/>
              </w:rPr>
              <w:t xml:space="preserve">esamų akcininkų dalis Emitento įstatiniame kapitale po naujos Emisijos </w:t>
            </w:r>
            <w:r w:rsidR="00C15028" w:rsidRPr="008048D3">
              <w:rPr>
                <w:rFonts w:ascii="Verdana" w:hAnsi="Verdana"/>
                <w:sz w:val="16"/>
                <w:szCs w:val="16"/>
                <w:lang w:val="lt-LT"/>
              </w:rPr>
              <w:t xml:space="preserve">(neįskaitant Parduodamų akcijų įtakos) </w:t>
            </w:r>
            <w:r w:rsidR="001B3F9D" w:rsidRPr="008048D3">
              <w:rPr>
                <w:rFonts w:ascii="Verdana" w:hAnsi="Verdana"/>
                <w:sz w:val="16"/>
                <w:szCs w:val="16"/>
                <w:lang w:val="lt-LT"/>
              </w:rPr>
              <w:t xml:space="preserve">bus lygi </w:t>
            </w:r>
            <w:r w:rsidR="00C15028" w:rsidRPr="008048D3">
              <w:rPr>
                <w:rFonts w:ascii="Verdana" w:hAnsi="Verdana"/>
                <w:sz w:val="16"/>
                <w:szCs w:val="16"/>
                <w:lang w:val="lt-LT"/>
              </w:rPr>
              <w:t>82</w:t>
            </w:r>
            <w:r w:rsidR="001B3F9D" w:rsidRPr="008048D3">
              <w:rPr>
                <w:rFonts w:ascii="Verdana" w:hAnsi="Verdana"/>
                <w:sz w:val="16"/>
                <w:szCs w:val="16"/>
                <w:lang w:val="lt-LT"/>
              </w:rPr>
              <w:t>,</w:t>
            </w:r>
            <w:r w:rsidR="00C15028" w:rsidRPr="008048D3">
              <w:rPr>
                <w:rFonts w:ascii="Verdana" w:hAnsi="Verdana"/>
                <w:sz w:val="16"/>
                <w:szCs w:val="16"/>
                <w:lang w:val="lt-LT"/>
              </w:rPr>
              <w:t>41</w:t>
            </w:r>
            <w:r w:rsidRPr="008048D3">
              <w:rPr>
                <w:rFonts w:ascii="Verdana" w:hAnsi="Verdana"/>
                <w:sz w:val="16"/>
                <w:szCs w:val="16"/>
                <w:lang w:val="lt-LT"/>
              </w:rPr>
              <w:t xml:space="preserve">%, </w:t>
            </w:r>
            <w:r w:rsidR="001B3F9D" w:rsidRPr="008048D3">
              <w:rPr>
                <w:rFonts w:ascii="Verdana" w:hAnsi="Verdana"/>
                <w:sz w:val="16"/>
                <w:szCs w:val="16"/>
                <w:lang w:val="lt-LT"/>
              </w:rPr>
              <w:t>t</w:t>
            </w:r>
            <w:r w:rsidRPr="008048D3">
              <w:rPr>
                <w:rFonts w:ascii="Verdana" w:hAnsi="Verdana"/>
                <w:sz w:val="16"/>
                <w:szCs w:val="16"/>
                <w:lang w:val="lt-LT"/>
              </w:rPr>
              <w:t>.</w:t>
            </w:r>
            <w:r w:rsidR="001B3F9D" w:rsidRPr="008048D3">
              <w:rPr>
                <w:rFonts w:ascii="Verdana" w:hAnsi="Verdana"/>
                <w:sz w:val="16"/>
                <w:szCs w:val="16"/>
                <w:lang w:val="lt-LT"/>
              </w:rPr>
              <w:t> y</w:t>
            </w:r>
            <w:r w:rsidRPr="008048D3">
              <w:rPr>
                <w:rFonts w:ascii="Verdana" w:hAnsi="Verdana"/>
                <w:sz w:val="16"/>
                <w:szCs w:val="16"/>
                <w:lang w:val="lt-LT"/>
              </w:rPr>
              <w:t xml:space="preserve">. </w:t>
            </w:r>
            <w:r w:rsidR="001B3F9D" w:rsidRPr="008048D3">
              <w:rPr>
                <w:rFonts w:ascii="Verdana" w:hAnsi="Verdana"/>
                <w:sz w:val="16"/>
                <w:szCs w:val="16"/>
                <w:lang w:val="lt-LT"/>
              </w:rPr>
              <w:t xml:space="preserve">esamų akcininkų turimi akcijų paketai sumažėtų </w:t>
            </w:r>
            <w:r w:rsidR="00C15028" w:rsidRPr="008048D3">
              <w:rPr>
                <w:rFonts w:ascii="Verdana" w:hAnsi="Verdana"/>
                <w:sz w:val="16"/>
                <w:szCs w:val="16"/>
                <w:lang w:val="lt-LT"/>
              </w:rPr>
              <w:t>17</w:t>
            </w:r>
            <w:r w:rsidR="001B3F9D" w:rsidRPr="008048D3">
              <w:rPr>
                <w:rFonts w:ascii="Verdana" w:hAnsi="Verdana"/>
                <w:sz w:val="16"/>
                <w:szCs w:val="16"/>
                <w:lang w:val="lt-LT"/>
              </w:rPr>
              <w:t>,</w:t>
            </w:r>
            <w:r w:rsidRPr="008048D3">
              <w:rPr>
                <w:rFonts w:ascii="Verdana" w:hAnsi="Verdana"/>
                <w:sz w:val="16"/>
                <w:szCs w:val="16"/>
                <w:lang w:val="lt-LT"/>
              </w:rPr>
              <w:t>5</w:t>
            </w:r>
            <w:r w:rsidR="00C15028" w:rsidRPr="008048D3">
              <w:rPr>
                <w:rFonts w:ascii="Verdana" w:hAnsi="Verdana"/>
                <w:sz w:val="16"/>
                <w:szCs w:val="16"/>
                <w:lang w:val="lt-LT"/>
              </w:rPr>
              <w:t>9</w:t>
            </w:r>
            <w:r w:rsidRPr="008048D3">
              <w:rPr>
                <w:rFonts w:ascii="Verdana" w:hAnsi="Verdana"/>
                <w:sz w:val="16"/>
                <w:szCs w:val="16"/>
                <w:lang w:val="lt-LT"/>
              </w:rPr>
              <w:t>%.</w:t>
            </w:r>
          </w:p>
          <w:p w14:paraId="2301C69A" w14:textId="77777777" w:rsidR="005E7716" w:rsidRPr="008048D3" w:rsidRDefault="005E7716" w:rsidP="005E7716">
            <w:pPr>
              <w:ind w:right="-32"/>
              <w:jc w:val="both"/>
              <w:rPr>
                <w:rFonts w:ascii="Verdana" w:hAnsi="Verdana"/>
                <w:sz w:val="16"/>
                <w:szCs w:val="16"/>
                <w:lang w:val="lt-LT"/>
              </w:rPr>
            </w:pPr>
          </w:p>
          <w:p w14:paraId="0198526A" w14:textId="7F7FAAE6" w:rsidR="00041DA7" w:rsidRPr="008048D3" w:rsidRDefault="00041DA7" w:rsidP="00041DA7">
            <w:pPr>
              <w:ind w:right="-32"/>
              <w:jc w:val="both"/>
              <w:rPr>
                <w:rFonts w:ascii="Verdana" w:hAnsi="Verdana"/>
                <w:sz w:val="16"/>
                <w:szCs w:val="16"/>
                <w:lang w:val="lt-LT"/>
              </w:rPr>
            </w:pPr>
            <w:r w:rsidRPr="008048D3">
              <w:rPr>
                <w:rFonts w:ascii="Verdana" w:hAnsi="Verdana"/>
                <w:b/>
                <w:sz w:val="16"/>
                <w:szCs w:val="16"/>
                <w:lang w:val="lt-LT"/>
              </w:rPr>
              <w:t xml:space="preserve">Nėra jokios garantijos dėl dividendų mokėjimo Emitento akcininkams. </w:t>
            </w:r>
            <w:r w:rsidRPr="008048D3">
              <w:rPr>
                <w:rFonts w:ascii="Verdana" w:hAnsi="Verdana"/>
                <w:sz w:val="16"/>
                <w:szCs w:val="16"/>
                <w:lang w:val="lt-LT"/>
              </w:rPr>
              <w:t xml:space="preserve">Bendrovė nėra prisiėmusi jokio nuolatinio ir konkretaus įsipareigojimo reguliariai mokėti dividendus savo akcininkams ir </w:t>
            </w:r>
            <w:r w:rsidR="000005FD" w:rsidRPr="008048D3">
              <w:rPr>
                <w:rFonts w:ascii="Verdana" w:hAnsi="Verdana"/>
                <w:sz w:val="16"/>
                <w:szCs w:val="16"/>
                <w:lang w:val="lt-LT"/>
              </w:rPr>
              <w:t>neteikia jokių garantijų</w:t>
            </w:r>
            <w:r w:rsidRPr="008048D3">
              <w:rPr>
                <w:rFonts w:ascii="Verdana" w:hAnsi="Verdana"/>
                <w:sz w:val="16"/>
                <w:szCs w:val="16"/>
                <w:lang w:val="lt-LT"/>
              </w:rPr>
              <w:t xml:space="preserve"> dėl būsimų dividendų, jei tokių būtų, mokėjimo arba jų sumos.</w:t>
            </w:r>
          </w:p>
          <w:p w14:paraId="0AFF9DDC" w14:textId="77777777" w:rsidR="00041DA7" w:rsidRPr="008048D3" w:rsidRDefault="00041DA7" w:rsidP="00A530AB">
            <w:pPr>
              <w:ind w:right="-32"/>
              <w:jc w:val="both"/>
              <w:rPr>
                <w:rFonts w:ascii="Verdana" w:hAnsi="Verdana"/>
                <w:b/>
                <w:sz w:val="16"/>
                <w:szCs w:val="16"/>
                <w:lang w:val="lt-LT"/>
              </w:rPr>
            </w:pPr>
          </w:p>
          <w:p w14:paraId="2019A941" w14:textId="7424DA81" w:rsidR="005E7716" w:rsidRPr="008048D3" w:rsidRDefault="001263D5" w:rsidP="00A530AB">
            <w:pPr>
              <w:ind w:right="-32"/>
              <w:jc w:val="both"/>
              <w:rPr>
                <w:rFonts w:ascii="Verdana" w:hAnsi="Verdana"/>
                <w:sz w:val="16"/>
                <w:szCs w:val="16"/>
                <w:lang w:val="lt-LT"/>
              </w:rPr>
            </w:pPr>
            <w:r w:rsidRPr="008048D3">
              <w:rPr>
                <w:rFonts w:ascii="Verdana" w:hAnsi="Verdana"/>
                <w:b/>
                <w:sz w:val="16"/>
                <w:szCs w:val="16"/>
                <w:lang w:val="lt-LT"/>
              </w:rPr>
              <w:t xml:space="preserve">Siūlymas </w:t>
            </w:r>
            <w:r w:rsidR="00E82412" w:rsidRPr="008048D3">
              <w:rPr>
                <w:rFonts w:ascii="Verdana" w:hAnsi="Verdana"/>
                <w:b/>
                <w:sz w:val="16"/>
                <w:szCs w:val="16"/>
                <w:lang w:val="lt-LT"/>
              </w:rPr>
              <w:t xml:space="preserve">ir (arba) Įtraukimas </w:t>
            </w:r>
            <w:r w:rsidRPr="008048D3">
              <w:rPr>
                <w:rFonts w:ascii="Verdana" w:hAnsi="Verdana"/>
                <w:b/>
                <w:sz w:val="16"/>
                <w:szCs w:val="16"/>
                <w:lang w:val="lt-LT"/>
              </w:rPr>
              <w:t xml:space="preserve">gali </w:t>
            </w:r>
            <w:r w:rsidR="00916F6B" w:rsidRPr="008048D3">
              <w:rPr>
                <w:rFonts w:ascii="Verdana" w:hAnsi="Verdana"/>
                <w:b/>
                <w:sz w:val="16"/>
                <w:szCs w:val="16"/>
                <w:lang w:val="lt-LT"/>
              </w:rPr>
              <w:t>būti atidėtas</w:t>
            </w:r>
            <w:r w:rsidR="005E7716" w:rsidRPr="008048D3">
              <w:rPr>
                <w:rFonts w:ascii="Verdana" w:hAnsi="Verdana"/>
                <w:b/>
                <w:sz w:val="16"/>
                <w:szCs w:val="16"/>
                <w:lang w:val="lt-LT"/>
              </w:rPr>
              <w:t>, sus</w:t>
            </w:r>
            <w:r w:rsidRPr="008048D3">
              <w:rPr>
                <w:rFonts w:ascii="Verdana" w:hAnsi="Verdana"/>
                <w:b/>
                <w:sz w:val="16"/>
                <w:szCs w:val="16"/>
                <w:lang w:val="lt-LT"/>
              </w:rPr>
              <w:t>tabdytas arba atšauktas</w:t>
            </w:r>
            <w:r w:rsidR="005E7716" w:rsidRPr="008048D3">
              <w:rPr>
                <w:rFonts w:ascii="Verdana" w:hAnsi="Verdana"/>
                <w:b/>
                <w:sz w:val="16"/>
                <w:szCs w:val="16"/>
                <w:lang w:val="lt-LT"/>
              </w:rPr>
              <w:t>; Invest</w:t>
            </w:r>
            <w:r w:rsidRPr="008048D3">
              <w:rPr>
                <w:rFonts w:ascii="Verdana" w:hAnsi="Verdana"/>
                <w:b/>
                <w:sz w:val="16"/>
                <w:szCs w:val="16"/>
                <w:lang w:val="lt-LT"/>
              </w:rPr>
              <w:t>uotojams negarantuojama, kad jiems bus paskirstytas toks Siūlomų akcijų skaičius, kurį jie pasirašė, arba kad iš viso jiems bus paskirstytos k</w:t>
            </w:r>
            <w:r w:rsidR="00296588" w:rsidRPr="008048D3">
              <w:rPr>
                <w:rFonts w:ascii="Verdana" w:hAnsi="Verdana"/>
                <w:b/>
                <w:sz w:val="16"/>
                <w:szCs w:val="16"/>
                <w:lang w:val="lt-LT"/>
              </w:rPr>
              <w:t xml:space="preserve">oks </w:t>
            </w:r>
            <w:r w:rsidRPr="008048D3">
              <w:rPr>
                <w:rFonts w:ascii="Verdana" w:hAnsi="Verdana"/>
                <w:b/>
                <w:sz w:val="16"/>
                <w:szCs w:val="16"/>
                <w:lang w:val="lt-LT"/>
              </w:rPr>
              <w:t>nors Siūlom</w:t>
            </w:r>
            <w:r w:rsidR="00296588" w:rsidRPr="008048D3">
              <w:rPr>
                <w:rFonts w:ascii="Verdana" w:hAnsi="Verdana"/>
                <w:b/>
                <w:sz w:val="16"/>
                <w:szCs w:val="16"/>
                <w:lang w:val="lt-LT"/>
              </w:rPr>
              <w:t>ų</w:t>
            </w:r>
            <w:r w:rsidRPr="008048D3">
              <w:rPr>
                <w:rFonts w:ascii="Verdana" w:hAnsi="Verdana"/>
                <w:b/>
                <w:sz w:val="16"/>
                <w:szCs w:val="16"/>
                <w:lang w:val="lt-LT"/>
              </w:rPr>
              <w:t xml:space="preserve"> akcij</w:t>
            </w:r>
            <w:r w:rsidR="00296588" w:rsidRPr="008048D3">
              <w:rPr>
                <w:rFonts w:ascii="Verdana" w:hAnsi="Verdana"/>
                <w:b/>
                <w:sz w:val="16"/>
                <w:szCs w:val="16"/>
                <w:lang w:val="lt-LT"/>
              </w:rPr>
              <w:t>ų skaičius</w:t>
            </w:r>
            <w:r w:rsidR="005E7716" w:rsidRPr="008048D3">
              <w:rPr>
                <w:rFonts w:ascii="Verdana" w:hAnsi="Verdana"/>
                <w:b/>
                <w:sz w:val="16"/>
                <w:szCs w:val="16"/>
                <w:lang w:val="lt-LT"/>
              </w:rPr>
              <w:t>.</w:t>
            </w:r>
            <w:r w:rsidR="005E7716" w:rsidRPr="008048D3">
              <w:rPr>
                <w:rFonts w:ascii="Verdana" w:hAnsi="Verdana"/>
                <w:sz w:val="16"/>
                <w:szCs w:val="16"/>
                <w:lang w:val="lt-LT"/>
              </w:rPr>
              <w:t xml:space="preserve"> </w:t>
            </w:r>
            <w:r w:rsidRPr="008048D3">
              <w:rPr>
                <w:rFonts w:ascii="Verdana" w:hAnsi="Verdana"/>
                <w:sz w:val="16"/>
                <w:szCs w:val="16"/>
                <w:lang w:val="lt-LT"/>
              </w:rPr>
              <w:t>Vieši siūlymai priklauso nuo įvairių aplinkybių, kurių Emitentas negali kontroliuoti</w:t>
            </w:r>
            <w:r w:rsidR="005E7716" w:rsidRPr="008048D3">
              <w:rPr>
                <w:rFonts w:ascii="Verdana" w:hAnsi="Verdana"/>
                <w:sz w:val="16"/>
                <w:szCs w:val="16"/>
                <w:lang w:val="lt-LT"/>
              </w:rPr>
              <w:t xml:space="preserve">. </w:t>
            </w:r>
            <w:r w:rsidR="00916F6B" w:rsidRPr="008048D3">
              <w:rPr>
                <w:rFonts w:ascii="Verdana" w:hAnsi="Verdana"/>
                <w:sz w:val="16"/>
                <w:szCs w:val="16"/>
                <w:lang w:val="lt-LT"/>
              </w:rPr>
              <w:t xml:space="preserve">Siūlomų akcijų paklausa, be kita ko, priklauso nuo </w:t>
            </w:r>
            <w:r w:rsidR="005E7716" w:rsidRPr="008048D3">
              <w:rPr>
                <w:rFonts w:ascii="Verdana" w:hAnsi="Verdana"/>
                <w:sz w:val="16"/>
                <w:szCs w:val="16"/>
                <w:lang w:val="lt-LT"/>
              </w:rPr>
              <w:t>invest</w:t>
            </w:r>
            <w:r w:rsidR="00916F6B" w:rsidRPr="008048D3">
              <w:rPr>
                <w:rFonts w:ascii="Verdana" w:hAnsi="Verdana"/>
                <w:sz w:val="16"/>
                <w:szCs w:val="16"/>
                <w:lang w:val="lt-LT"/>
              </w:rPr>
              <w:t xml:space="preserve">uotojų </w:t>
            </w:r>
            <w:r w:rsidR="005E7716" w:rsidRPr="008048D3">
              <w:rPr>
                <w:rFonts w:ascii="Verdana" w:hAnsi="Verdana"/>
                <w:sz w:val="16"/>
                <w:szCs w:val="16"/>
                <w:lang w:val="lt-LT"/>
              </w:rPr>
              <w:t>sentiment</w:t>
            </w:r>
            <w:r w:rsidR="00916F6B" w:rsidRPr="008048D3">
              <w:rPr>
                <w:rFonts w:ascii="Verdana" w:hAnsi="Verdana"/>
                <w:sz w:val="16"/>
                <w:szCs w:val="16"/>
                <w:lang w:val="lt-LT"/>
              </w:rPr>
              <w:t>ų konkrečiam ūkio sektoriui</w:t>
            </w:r>
            <w:r w:rsidR="005E7716" w:rsidRPr="008048D3">
              <w:rPr>
                <w:rFonts w:ascii="Verdana" w:hAnsi="Verdana"/>
                <w:sz w:val="16"/>
                <w:szCs w:val="16"/>
                <w:lang w:val="lt-LT"/>
              </w:rPr>
              <w:t xml:space="preserve">, </w:t>
            </w:r>
            <w:r w:rsidR="00916F6B" w:rsidRPr="008048D3">
              <w:rPr>
                <w:rFonts w:ascii="Verdana" w:hAnsi="Verdana"/>
                <w:sz w:val="16"/>
                <w:szCs w:val="16"/>
                <w:lang w:val="lt-LT"/>
              </w:rPr>
              <w:t>Siūlymo teisinių ir finansinių sąlygų</w:t>
            </w:r>
            <w:r w:rsidR="005E7716" w:rsidRPr="008048D3">
              <w:rPr>
                <w:rFonts w:ascii="Verdana" w:hAnsi="Verdana"/>
                <w:sz w:val="16"/>
                <w:szCs w:val="16"/>
                <w:lang w:val="lt-LT"/>
              </w:rPr>
              <w:t xml:space="preserve">. </w:t>
            </w:r>
            <w:r w:rsidR="00916F6B" w:rsidRPr="008048D3">
              <w:rPr>
                <w:rFonts w:ascii="Verdana" w:hAnsi="Verdana"/>
                <w:sz w:val="16"/>
                <w:szCs w:val="16"/>
                <w:lang w:val="lt-LT"/>
              </w:rPr>
              <w:t>Jei tokios aplinkybės turėtų neigiamos įtakos Siūlymo rezultatams</w:t>
            </w:r>
            <w:r w:rsidR="005E7716" w:rsidRPr="008048D3">
              <w:rPr>
                <w:rFonts w:ascii="Verdana" w:hAnsi="Verdana"/>
                <w:sz w:val="16"/>
                <w:szCs w:val="16"/>
                <w:lang w:val="lt-LT"/>
              </w:rPr>
              <w:t xml:space="preserve">, </w:t>
            </w:r>
            <w:r w:rsidR="00916F6B" w:rsidRPr="008048D3">
              <w:rPr>
                <w:rFonts w:ascii="Verdana" w:hAnsi="Verdana"/>
                <w:sz w:val="16"/>
                <w:szCs w:val="16"/>
                <w:lang w:val="lt-LT"/>
              </w:rPr>
              <w:t xml:space="preserve">Emitentas gali nuspręsti atidėti, </w:t>
            </w:r>
            <w:r w:rsidR="005E7716" w:rsidRPr="008048D3">
              <w:rPr>
                <w:rFonts w:ascii="Verdana" w:hAnsi="Verdana"/>
                <w:sz w:val="16"/>
                <w:szCs w:val="16"/>
                <w:lang w:val="lt-LT"/>
              </w:rPr>
              <w:t>sus</w:t>
            </w:r>
            <w:r w:rsidR="00916F6B" w:rsidRPr="008048D3">
              <w:rPr>
                <w:rFonts w:ascii="Verdana" w:hAnsi="Verdana"/>
                <w:sz w:val="16"/>
                <w:szCs w:val="16"/>
                <w:lang w:val="lt-LT"/>
              </w:rPr>
              <w:t>tabdyti arba atšaukti Siūlymą</w:t>
            </w:r>
            <w:r w:rsidR="00A530AB" w:rsidRPr="008048D3">
              <w:rPr>
                <w:rFonts w:ascii="Verdana" w:hAnsi="Verdana"/>
                <w:sz w:val="16"/>
                <w:szCs w:val="16"/>
                <w:lang w:val="lt-LT"/>
              </w:rPr>
              <w:t xml:space="preserve">. </w:t>
            </w:r>
            <w:r w:rsidR="00916F6B" w:rsidRPr="008048D3">
              <w:rPr>
                <w:rFonts w:ascii="Verdana" w:hAnsi="Verdana"/>
                <w:sz w:val="16"/>
                <w:szCs w:val="16"/>
                <w:lang w:val="lt-LT"/>
              </w:rPr>
              <w:t xml:space="preserve">Todėl </w:t>
            </w:r>
            <w:r w:rsidR="005E7716" w:rsidRPr="008048D3">
              <w:rPr>
                <w:rFonts w:ascii="Verdana" w:hAnsi="Verdana"/>
                <w:sz w:val="16"/>
                <w:szCs w:val="16"/>
                <w:lang w:val="lt-LT"/>
              </w:rPr>
              <w:t>invest</w:t>
            </w:r>
            <w:r w:rsidR="00916F6B" w:rsidRPr="008048D3">
              <w:rPr>
                <w:rFonts w:ascii="Verdana" w:hAnsi="Verdana"/>
                <w:sz w:val="16"/>
                <w:szCs w:val="16"/>
                <w:lang w:val="lt-LT"/>
              </w:rPr>
              <w:t xml:space="preserve">uotojams gali nepavykti </w:t>
            </w:r>
            <w:r w:rsidR="005E7716" w:rsidRPr="008048D3">
              <w:rPr>
                <w:rFonts w:ascii="Verdana" w:hAnsi="Verdana"/>
                <w:sz w:val="16"/>
                <w:szCs w:val="16"/>
                <w:lang w:val="lt-LT"/>
              </w:rPr>
              <w:t>s</w:t>
            </w:r>
            <w:r w:rsidR="00916F6B" w:rsidRPr="008048D3">
              <w:rPr>
                <w:rFonts w:ascii="Verdana" w:hAnsi="Verdana"/>
                <w:sz w:val="16"/>
                <w:szCs w:val="16"/>
                <w:lang w:val="lt-LT"/>
              </w:rPr>
              <w:t>ėkmingai pasirašyti Siūlomų akcijų ir investuotojų Siūlymo metu sumokėtos sumos, jei tokių būtų, bus grąžintos be jokių kompensacijų</w:t>
            </w:r>
            <w:r w:rsidR="005E7716" w:rsidRPr="008048D3">
              <w:rPr>
                <w:rFonts w:ascii="Verdana" w:hAnsi="Verdana"/>
                <w:sz w:val="16"/>
                <w:szCs w:val="16"/>
                <w:lang w:val="lt-LT"/>
              </w:rPr>
              <w:t>.</w:t>
            </w:r>
          </w:p>
          <w:p w14:paraId="07DFC19E" w14:textId="650F9272" w:rsidR="005E7716" w:rsidRPr="008048D3" w:rsidRDefault="005E7716" w:rsidP="005E7716">
            <w:pPr>
              <w:ind w:right="-32"/>
              <w:jc w:val="both"/>
              <w:rPr>
                <w:rFonts w:ascii="Verdana" w:hAnsi="Verdana"/>
                <w:sz w:val="16"/>
                <w:szCs w:val="16"/>
                <w:lang w:val="lt-LT"/>
              </w:rPr>
            </w:pPr>
          </w:p>
          <w:p w14:paraId="2E138691" w14:textId="486245A2" w:rsidR="005E7716" w:rsidRPr="008048D3" w:rsidRDefault="00E52AD1" w:rsidP="005E7716">
            <w:pPr>
              <w:ind w:right="-32"/>
              <w:jc w:val="both"/>
              <w:rPr>
                <w:rFonts w:ascii="Verdana" w:hAnsi="Verdana"/>
                <w:sz w:val="16"/>
                <w:szCs w:val="16"/>
                <w:lang w:val="lt-LT"/>
              </w:rPr>
            </w:pPr>
            <w:r w:rsidRPr="008048D3">
              <w:rPr>
                <w:rFonts w:ascii="Verdana" w:hAnsi="Verdana"/>
                <w:b/>
                <w:sz w:val="16"/>
                <w:szCs w:val="16"/>
                <w:lang w:val="lt-LT"/>
              </w:rPr>
              <w:t>Stambių akcininkų rizika</w:t>
            </w:r>
            <w:r w:rsidR="005E7716" w:rsidRPr="008048D3">
              <w:rPr>
                <w:rFonts w:ascii="Verdana" w:hAnsi="Verdana"/>
                <w:b/>
                <w:sz w:val="16"/>
                <w:szCs w:val="16"/>
                <w:lang w:val="lt-LT"/>
              </w:rPr>
              <w:t>.</w:t>
            </w:r>
            <w:r w:rsidR="005E7716" w:rsidRPr="008048D3">
              <w:rPr>
                <w:rFonts w:ascii="Verdana" w:hAnsi="Verdana"/>
                <w:sz w:val="16"/>
                <w:szCs w:val="16"/>
                <w:lang w:val="lt-LT"/>
              </w:rPr>
              <w:t xml:space="preserve"> 88</w:t>
            </w:r>
            <w:r w:rsidR="005E527B" w:rsidRPr="008048D3">
              <w:rPr>
                <w:rFonts w:ascii="Verdana" w:hAnsi="Verdana"/>
                <w:sz w:val="16"/>
                <w:szCs w:val="16"/>
                <w:lang w:val="lt-LT"/>
              </w:rPr>
              <w:t>,</w:t>
            </w:r>
            <w:r w:rsidR="005E7716" w:rsidRPr="008048D3">
              <w:rPr>
                <w:rFonts w:ascii="Verdana" w:hAnsi="Verdana"/>
                <w:sz w:val="16"/>
                <w:szCs w:val="16"/>
                <w:lang w:val="lt-LT"/>
              </w:rPr>
              <w:t>13</w:t>
            </w:r>
            <w:r w:rsidR="005E527B" w:rsidRPr="008048D3">
              <w:rPr>
                <w:rFonts w:ascii="Verdana" w:hAnsi="Verdana"/>
                <w:sz w:val="16"/>
                <w:szCs w:val="16"/>
                <w:lang w:val="lt-LT"/>
              </w:rPr>
              <w:t xml:space="preserve">% Akcijų ir jų suteikiamų balsavimo teisių priklauso </w:t>
            </w:r>
            <w:r w:rsidR="005E7716" w:rsidRPr="008048D3">
              <w:rPr>
                <w:rFonts w:ascii="Verdana" w:hAnsi="Verdana"/>
                <w:sz w:val="16"/>
                <w:szCs w:val="16"/>
                <w:lang w:val="lt-LT"/>
              </w:rPr>
              <w:t>(</w:t>
            </w:r>
            <w:r w:rsidR="005E527B" w:rsidRPr="008048D3">
              <w:rPr>
                <w:rFonts w:ascii="Verdana" w:hAnsi="Verdana"/>
                <w:sz w:val="16"/>
                <w:szCs w:val="16"/>
                <w:lang w:val="lt-LT"/>
              </w:rPr>
              <w:t>ir</w:t>
            </w:r>
            <w:r w:rsidR="005E7716" w:rsidRPr="008048D3">
              <w:rPr>
                <w:rFonts w:ascii="Verdana" w:hAnsi="Verdana"/>
                <w:sz w:val="16"/>
                <w:szCs w:val="16"/>
                <w:lang w:val="lt-LT"/>
              </w:rPr>
              <w:t xml:space="preserve">, </w:t>
            </w:r>
            <w:r w:rsidR="005E527B" w:rsidRPr="008048D3">
              <w:rPr>
                <w:rFonts w:ascii="Verdana" w:hAnsi="Verdana"/>
                <w:sz w:val="16"/>
                <w:szCs w:val="16"/>
                <w:lang w:val="lt-LT"/>
              </w:rPr>
              <w:t xml:space="preserve">darant prielaidą, kad bus pasirašytos ir apmokėtos visos Siūlomos akcijos, </w:t>
            </w:r>
            <w:r w:rsidR="00E82412" w:rsidRPr="008048D3">
              <w:rPr>
                <w:rFonts w:ascii="Verdana" w:hAnsi="Verdana"/>
                <w:sz w:val="16"/>
                <w:szCs w:val="16"/>
                <w:lang w:val="lt-LT"/>
              </w:rPr>
              <w:t>63</w:t>
            </w:r>
            <w:r w:rsidR="005E527B" w:rsidRPr="008048D3">
              <w:rPr>
                <w:rFonts w:ascii="Verdana" w:hAnsi="Verdana"/>
                <w:sz w:val="16"/>
                <w:szCs w:val="16"/>
                <w:lang w:val="lt-LT"/>
              </w:rPr>
              <w:t>,</w:t>
            </w:r>
            <w:r w:rsidR="00E82412" w:rsidRPr="008048D3">
              <w:rPr>
                <w:rFonts w:ascii="Verdana" w:hAnsi="Verdana"/>
                <w:sz w:val="16"/>
                <w:szCs w:val="16"/>
                <w:lang w:val="lt-LT"/>
              </w:rPr>
              <w:t>83</w:t>
            </w:r>
            <w:r w:rsidR="005E7716" w:rsidRPr="008048D3">
              <w:rPr>
                <w:rFonts w:ascii="Verdana" w:hAnsi="Verdana"/>
                <w:sz w:val="16"/>
                <w:szCs w:val="16"/>
                <w:lang w:val="lt-LT"/>
              </w:rPr>
              <w:t xml:space="preserve"> </w:t>
            </w:r>
            <w:r w:rsidR="005E527B" w:rsidRPr="008048D3">
              <w:rPr>
                <w:rFonts w:ascii="Verdana" w:hAnsi="Verdana"/>
                <w:sz w:val="16"/>
                <w:szCs w:val="16"/>
                <w:lang w:val="lt-LT"/>
              </w:rPr>
              <w:t>% Akcijų ir jų suteikiamų balsavimo teisių priklausys</w:t>
            </w:r>
            <w:r w:rsidR="005E7716" w:rsidRPr="008048D3">
              <w:rPr>
                <w:rFonts w:ascii="Verdana" w:hAnsi="Verdana"/>
                <w:sz w:val="16"/>
                <w:szCs w:val="16"/>
                <w:lang w:val="lt-LT"/>
              </w:rPr>
              <w:t xml:space="preserve">) </w:t>
            </w:r>
            <w:r w:rsidR="005E527B" w:rsidRPr="008048D3">
              <w:rPr>
                <w:rFonts w:ascii="Verdana" w:hAnsi="Verdana"/>
                <w:sz w:val="16"/>
                <w:szCs w:val="16"/>
                <w:lang w:val="lt-LT"/>
              </w:rPr>
              <w:t>vieninteliam Parduodančiam akcininkui</w:t>
            </w:r>
            <w:r w:rsidR="005E7716" w:rsidRPr="008048D3">
              <w:rPr>
                <w:rFonts w:ascii="Verdana" w:hAnsi="Verdana"/>
                <w:sz w:val="16"/>
                <w:szCs w:val="16"/>
                <w:lang w:val="lt-LT"/>
              </w:rPr>
              <w:t xml:space="preserve">. </w:t>
            </w:r>
            <w:r w:rsidR="005E527B" w:rsidRPr="008048D3">
              <w:rPr>
                <w:rFonts w:ascii="Verdana" w:hAnsi="Verdana"/>
                <w:sz w:val="16"/>
                <w:szCs w:val="16"/>
                <w:lang w:val="lt-LT"/>
              </w:rPr>
              <w:t>Šio akcininko balsavimas įtakos visus visuotiniame susirinkime priimamus sprendimus</w:t>
            </w:r>
            <w:r w:rsidR="005E7716" w:rsidRPr="008048D3">
              <w:rPr>
                <w:rFonts w:ascii="Verdana" w:hAnsi="Verdana"/>
                <w:sz w:val="16"/>
                <w:szCs w:val="16"/>
                <w:lang w:val="lt-LT"/>
              </w:rPr>
              <w:t xml:space="preserve">, </w:t>
            </w:r>
            <w:r w:rsidR="005E527B" w:rsidRPr="008048D3">
              <w:rPr>
                <w:rFonts w:ascii="Verdana" w:hAnsi="Verdana"/>
                <w:sz w:val="16"/>
                <w:szCs w:val="16"/>
                <w:lang w:val="lt-LT"/>
              </w:rPr>
              <w:t>pvz</w:t>
            </w:r>
            <w:r w:rsidR="005E7716" w:rsidRPr="008048D3">
              <w:rPr>
                <w:rFonts w:ascii="Verdana" w:hAnsi="Verdana"/>
                <w:sz w:val="16"/>
                <w:szCs w:val="16"/>
                <w:lang w:val="lt-LT"/>
              </w:rPr>
              <w:t>.</w:t>
            </w:r>
            <w:r w:rsidR="005E527B" w:rsidRPr="008048D3">
              <w:rPr>
                <w:rFonts w:ascii="Verdana" w:hAnsi="Verdana"/>
                <w:sz w:val="16"/>
                <w:szCs w:val="16"/>
                <w:lang w:val="lt-LT"/>
              </w:rPr>
              <w:t>, renkant stebėtojų tarybos narius</w:t>
            </w:r>
            <w:r w:rsidR="005E7716" w:rsidRPr="008048D3">
              <w:rPr>
                <w:rFonts w:ascii="Verdana" w:hAnsi="Verdana"/>
                <w:sz w:val="16"/>
                <w:szCs w:val="16"/>
                <w:lang w:val="lt-LT"/>
              </w:rPr>
              <w:t xml:space="preserve">, </w:t>
            </w:r>
            <w:r w:rsidR="005E527B" w:rsidRPr="008048D3">
              <w:rPr>
                <w:rFonts w:ascii="Verdana" w:hAnsi="Verdana"/>
                <w:sz w:val="16"/>
                <w:szCs w:val="16"/>
                <w:lang w:val="lt-LT"/>
              </w:rPr>
              <w:t>skirstant pelną</w:t>
            </w:r>
            <w:r w:rsidR="005E7716" w:rsidRPr="008048D3">
              <w:rPr>
                <w:rFonts w:ascii="Verdana" w:hAnsi="Verdana"/>
                <w:sz w:val="16"/>
                <w:szCs w:val="16"/>
                <w:lang w:val="lt-LT"/>
              </w:rPr>
              <w:t xml:space="preserve">, </w:t>
            </w:r>
            <w:r w:rsidR="005E527B" w:rsidRPr="008048D3">
              <w:rPr>
                <w:rFonts w:ascii="Verdana" w:hAnsi="Verdana"/>
                <w:sz w:val="16"/>
                <w:szCs w:val="16"/>
                <w:lang w:val="lt-LT"/>
              </w:rPr>
              <w:t>didinant Bendrovės įstatinį kapitalą ir kt</w:t>
            </w:r>
            <w:r w:rsidR="005E7716" w:rsidRPr="008048D3">
              <w:rPr>
                <w:rFonts w:ascii="Verdana" w:hAnsi="Verdana"/>
                <w:sz w:val="16"/>
                <w:szCs w:val="16"/>
                <w:lang w:val="lt-LT"/>
              </w:rPr>
              <w:t xml:space="preserve">. </w:t>
            </w:r>
            <w:r w:rsidR="00A35C71" w:rsidRPr="008048D3">
              <w:rPr>
                <w:rFonts w:ascii="Verdana" w:hAnsi="Verdana"/>
                <w:sz w:val="16"/>
                <w:szCs w:val="16"/>
                <w:lang w:val="lt-LT"/>
              </w:rPr>
              <w:t>Nėra jokios garantijos, kad Parduodančio akcininko sprendimai visuomet sutaps su kitų akcininkų nuomone ir interesais</w:t>
            </w:r>
            <w:r w:rsidR="005E7716" w:rsidRPr="008048D3">
              <w:rPr>
                <w:rFonts w:ascii="Verdana" w:hAnsi="Verdana"/>
                <w:sz w:val="16"/>
                <w:szCs w:val="16"/>
                <w:lang w:val="lt-LT"/>
              </w:rPr>
              <w:t xml:space="preserve">. </w:t>
            </w:r>
            <w:r w:rsidR="00A35C71" w:rsidRPr="008048D3">
              <w:rPr>
                <w:rFonts w:ascii="Verdana" w:hAnsi="Verdana"/>
                <w:sz w:val="16"/>
                <w:szCs w:val="16"/>
                <w:lang w:val="lt-LT"/>
              </w:rPr>
              <w:t xml:space="preserve">Parduodantis akcininkas taip pat turi galimybę </w:t>
            </w:r>
            <w:r w:rsidR="005E7716" w:rsidRPr="008048D3">
              <w:rPr>
                <w:rFonts w:ascii="Verdana" w:hAnsi="Verdana"/>
                <w:sz w:val="16"/>
                <w:szCs w:val="16"/>
                <w:lang w:val="lt-LT"/>
              </w:rPr>
              <w:t>blok</w:t>
            </w:r>
            <w:r w:rsidR="00A35C71" w:rsidRPr="008048D3">
              <w:rPr>
                <w:rFonts w:ascii="Verdana" w:hAnsi="Verdana"/>
                <w:sz w:val="16"/>
                <w:szCs w:val="16"/>
                <w:lang w:val="lt-LT"/>
              </w:rPr>
              <w:t>uoti kitų Bendrovės akcininkų siūlomus sprendimus</w:t>
            </w:r>
            <w:r w:rsidR="005E7716" w:rsidRPr="008048D3">
              <w:rPr>
                <w:rFonts w:ascii="Verdana" w:hAnsi="Verdana"/>
                <w:sz w:val="16"/>
                <w:szCs w:val="16"/>
                <w:lang w:val="lt-LT"/>
              </w:rPr>
              <w:t>.</w:t>
            </w:r>
          </w:p>
          <w:p w14:paraId="3E1E3D0C" w14:textId="77777777" w:rsidR="005E7716" w:rsidRPr="008048D3" w:rsidRDefault="005E7716" w:rsidP="005E7716">
            <w:pPr>
              <w:ind w:right="-32"/>
              <w:jc w:val="both"/>
              <w:rPr>
                <w:rFonts w:ascii="Verdana" w:hAnsi="Verdana"/>
                <w:sz w:val="16"/>
                <w:szCs w:val="16"/>
                <w:lang w:val="lt-LT"/>
              </w:rPr>
            </w:pPr>
          </w:p>
          <w:p w14:paraId="3ED332E5" w14:textId="218BC173" w:rsidR="005E7716" w:rsidRPr="008048D3" w:rsidRDefault="00277FDC" w:rsidP="005E7716">
            <w:pPr>
              <w:autoSpaceDE w:val="0"/>
              <w:autoSpaceDN w:val="0"/>
              <w:adjustRightInd w:val="0"/>
              <w:ind w:right="-32"/>
              <w:jc w:val="both"/>
              <w:rPr>
                <w:rFonts w:ascii="Verdana" w:hAnsi="Verdana" w:cs="Arial"/>
                <w:sz w:val="16"/>
                <w:szCs w:val="16"/>
                <w:lang w:val="lt-LT"/>
              </w:rPr>
            </w:pPr>
            <w:r w:rsidRPr="008048D3">
              <w:rPr>
                <w:rFonts w:ascii="Verdana" w:hAnsi="Verdana" w:cs="Arial"/>
                <w:b/>
                <w:sz w:val="16"/>
                <w:szCs w:val="16"/>
                <w:lang w:val="lt-LT"/>
              </w:rPr>
              <w:t xml:space="preserve">Negali būti jokio užtikrinimo dėl Akcijų rinkos būsimos plėtros ir jos likvidumo. </w:t>
            </w:r>
            <w:r w:rsidRPr="008048D3">
              <w:rPr>
                <w:rFonts w:ascii="Verdana" w:hAnsi="Verdana" w:cs="Arial"/>
                <w:sz w:val="16"/>
                <w:szCs w:val="16"/>
                <w:lang w:val="lt-LT"/>
              </w:rPr>
              <w:t xml:space="preserve">Esamos Akcijos yra įtrauktos į WSE ir </w:t>
            </w:r>
            <w:proofErr w:type="spellStart"/>
            <w:r w:rsidRPr="008048D3">
              <w:rPr>
                <w:rFonts w:ascii="Verdana" w:hAnsi="Verdana" w:cs="Arial"/>
                <w:sz w:val="16"/>
                <w:szCs w:val="16"/>
                <w:lang w:val="lt-LT"/>
              </w:rPr>
              <w:t>Nasdaq</w:t>
            </w:r>
            <w:proofErr w:type="spellEnd"/>
            <w:r w:rsidRPr="008048D3">
              <w:rPr>
                <w:rFonts w:ascii="Verdana" w:hAnsi="Verdana" w:cs="Arial"/>
                <w:sz w:val="16"/>
                <w:szCs w:val="16"/>
                <w:lang w:val="lt-LT"/>
              </w:rPr>
              <w:t xml:space="preserve"> Vilnius prekybos sąrašus. Tačiau tokių Akcijų ankstesnės prekybos WSE ir (arba) </w:t>
            </w:r>
            <w:proofErr w:type="spellStart"/>
            <w:r w:rsidRPr="008048D3">
              <w:rPr>
                <w:rFonts w:ascii="Verdana" w:hAnsi="Verdana" w:cs="Arial"/>
                <w:sz w:val="16"/>
                <w:szCs w:val="16"/>
                <w:lang w:val="lt-LT"/>
              </w:rPr>
              <w:t>Nasdaq</w:t>
            </w:r>
            <w:proofErr w:type="spellEnd"/>
            <w:r w:rsidRPr="008048D3">
              <w:rPr>
                <w:rFonts w:ascii="Verdana" w:hAnsi="Verdana" w:cs="Arial"/>
                <w:sz w:val="16"/>
                <w:szCs w:val="16"/>
                <w:lang w:val="lt-LT"/>
              </w:rPr>
              <w:t xml:space="preserve"> Vilnius rezultatai negali būti laikomi prognoze, kaip rinka gali vystytis ateityje ir kokia ateityje bus Akcijų paklausa. </w:t>
            </w:r>
            <w:r w:rsidR="009532BB" w:rsidRPr="008048D3">
              <w:rPr>
                <w:rFonts w:ascii="Verdana" w:hAnsi="Verdana" w:cs="Arial"/>
                <w:sz w:val="16"/>
                <w:szCs w:val="16"/>
                <w:lang w:val="lt-LT"/>
              </w:rPr>
              <w:t xml:space="preserve">Nepakankamas viešos </w:t>
            </w:r>
            <w:r w:rsidR="009532BB" w:rsidRPr="008048D3">
              <w:rPr>
                <w:rFonts w:ascii="Verdana" w:hAnsi="Verdana" w:cs="Arial"/>
                <w:sz w:val="16"/>
                <w:szCs w:val="16"/>
                <w:lang w:val="lt-LT"/>
              </w:rPr>
              <w:lastRenderedPageBreak/>
              <w:t>Akcijų rinkos likvidumas gali turėti neigiamos įtakos akcininkų galimybei parduoti savo akcijas arba gali neigiamai įtakoti kainą, už kurią akcininkai gali parduoti savo akcijas</w:t>
            </w:r>
            <w:r w:rsidR="00D27098" w:rsidRPr="008048D3">
              <w:rPr>
                <w:rFonts w:ascii="Verdana" w:hAnsi="Verdana" w:cs="Arial"/>
                <w:sz w:val="16"/>
                <w:szCs w:val="16"/>
                <w:lang w:val="lt-LT"/>
              </w:rPr>
              <w:t>.</w:t>
            </w:r>
          </w:p>
          <w:p w14:paraId="47545BD9" w14:textId="77777777" w:rsidR="005E7716" w:rsidRPr="008048D3" w:rsidRDefault="005E7716" w:rsidP="005E7716">
            <w:pPr>
              <w:autoSpaceDE w:val="0"/>
              <w:autoSpaceDN w:val="0"/>
              <w:adjustRightInd w:val="0"/>
              <w:ind w:right="-32"/>
              <w:jc w:val="both"/>
              <w:rPr>
                <w:rFonts w:ascii="Verdana" w:hAnsi="Verdana" w:cs="Arial"/>
                <w:sz w:val="16"/>
                <w:szCs w:val="16"/>
                <w:lang w:val="lt-LT"/>
              </w:rPr>
            </w:pPr>
          </w:p>
          <w:p w14:paraId="507227D8" w14:textId="5ACC0F58" w:rsidR="008F65F5" w:rsidRPr="008048D3" w:rsidRDefault="00CF5D94" w:rsidP="00D27098">
            <w:pPr>
              <w:autoSpaceDE w:val="0"/>
              <w:autoSpaceDN w:val="0"/>
              <w:adjustRightInd w:val="0"/>
              <w:ind w:right="-32"/>
              <w:jc w:val="both"/>
              <w:rPr>
                <w:rFonts w:ascii="Verdana" w:hAnsi="Verdana" w:cs="Arial"/>
                <w:sz w:val="16"/>
                <w:szCs w:val="16"/>
                <w:lang w:val="lt-LT"/>
              </w:rPr>
            </w:pPr>
            <w:r w:rsidRPr="008048D3">
              <w:rPr>
                <w:rFonts w:ascii="Verdana" w:hAnsi="Verdana" w:cs="Arial"/>
                <w:b/>
                <w:sz w:val="16"/>
                <w:szCs w:val="16"/>
                <w:lang w:val="lt-LT"/>
              </w:rPr>
              <w:t>Dėl Akcijų įtraukimo į dviejų reguliuojamų rinkų sąrašus atsiranda dviejų rinkų, kuriose prekiaujama Akcijomis, likvidumo, atsiskaitymų ir tarpuskaitos sistemų, prekybos valiutų ir sandorių išlaidų skirtumai. Šie ir kiti veiksniai gali trukdyti Akcijų judėjimui tarp šių dviejų biržų.</w:t>
            </w:r>
            <w:r w:rsidR="005E7716" w:rsidRPr="008048D3">
              <w:rPr>
                <w:rFonts w:ascii="Verdana" w:hAnsi="Verdana" w:cs="Arial"/>
                <w:b/>
                <w:sz w:val="16"/>
                <w:szCs w:val="16"/>
                <w:lang w:val="lt-LT"/>
              </w:rPr>
              <w:t xml:space="preserve"> </w:t>
            </w:r>
            <w:r w:rsidRPr="008048D3">
              <w:rPr>
                <w:rFonts w:ascii="Verdana" w:hAnsi="Verdana" w:cs="Arial"/>
                <w:sz w:val="16"/>
                <w:szCs w:val="16"/>
                <w:lang w:val="lt-LT"/>
              </w:rPr>
              <w:t xml:space="preserve">Esamos Akcijos yra įtrauktos į </w:t>
            </w:r>
            <w:r w:rsidR="005E7716" w:rsidRPr="008048D3">
              <w:rPr>
                <w:rFonts w:ascii="Verdana" w:hAnsi="Verdana" w:cs="Arial"/>
                <w:sz w:val="16"/>
                <w:szCs w:val="16"/>
                <w:lang w:val="lt-LT"/>
              </w:rPr>
              <w:t xml:space="preserve">WSE </w:t>
            </w:r>
            <w:r w:rsidRPr="008048D3">
              <w:rPr>
                <w:rFonts w:ascii="Verdana" w:hAnsi="Verdana" w:cs="Arial"/>
                <w:sz w:val="16"/>
                <w:szCs w:val="16"/>
                <w:lang w:val="lt-LT"/>
              </w:rPr>
              <w:t xml:space="preserve">ir </w:t>
            </w:r>
            <w:proofErr w:type="spellStart"/>
            <w:r w:rsidR="005E7716" w:rsidRPr="008048D3">
              <w:rPr>
                <w:rFonts w:ascii="Verdana" w:hAnsi="Verdana" w:cs="Arial"/>
                <w:sz w:val="16"/>
                <w:szCs w:val="16"/>
                <w:lang w:val="lt-LT"/>
              </w:rPr>
              <w:t>Nasdaq</w:t>
            </w:r>
            <w:proofErr w:type="spellEnd"/>
            <w:r w:rsidR="005E7716" w:rsidRPr="008048D3">
              <w:rPr>
                <w:rFonts w:ascii="Verdana" w:hAnsi="Verdana" w:cs="Arial"/>
                <w:sz w:val="16"/>
                <w:szCs w:val="16"/>
                <w:lang w:val="lt-LT"/>
              </w:rPr>
              <w:t xml:space="preserve"> Vilnius</w:t>
            </w:r>
            <w:r w:rsidRPr="008048D3">
              <w:rPr>
                <w:rFonts w:ascii="Verdana" w:hAnsi="Verdana" w:cs="Arial"/>
                <w:sz w:val="16"/>
                <w:szCs w:val="16"/>
                <w:lang w:val="lt-LT"/>
              </w:rPr>
              <w:t xml:space="preserve"> prekybos sąrašus</w:t>
            </w:r>
            <w:r w:rsidR="005E7716" w:rsidRPr="008048D3">
              <w:rPr>
                <w:rFonts w:ascii="Verdana" w:hAnsi="Verdana" w:cs="Arial"/>
                <w:sz w:val="16"/>
                <w:szCs w:val="16"/>
                <w:lang w:val="lt-LT"/>
              </w:rPr>
              <w:t>. T</w:t>
            </w:r>
            <w:r w:rsidR="00DF0123" w:rsidRPr="008048D3">
              <w:rPr>
                <w:rFonts w:ascii="Verdana" w:hAnsi="Verdana" w:cs="Arial"/>
                <w:sz w:val="16"/>
                <w:szCs w:val="16"/>
                <w:lang w:val="lt-LT"/>
              </w:rPr>
              <w:t>odėl prekyba Akcijo</w:t>
            </w:r>
            <w:r w:rsidR="008832C7" w:rsidRPr="008048D3">
              <w:rPr>
                <w:rFonts w:ascii="Verdana" w:hAnsi="Verdana" w:cs="Arial"/>
                <w:sz w:val="16"/>
                <w:szCs w:val="16"/>
                <w:lang w:val="lt-LT"/>
              </w:rPr>
              <w:t>mi</w:t>
            </w:r>
            <w:r w:rsidR="00DF0123" w:rsidRPr="008048D3">
              <w:rPr>
                <w:rFonts w:ascii="Verdana" w:hAnsi="Verdana" w:cs="Arial"/>
                <w:sz w:val="16"/>
                <w:szCs w:val="16"/>
                <w:lang w:val="lt-LT"/>
              </w:rPr>
              <w:t>s ir jų likvidumas pasiskirsto tarp šių dviejų biržų</w:t>
            </w:r>
            <w:r w:rsidR="005E7716" w:rsidRPr="008048D3">
              <w:rPr>
                <w:rFonts w:ascii="Verdana" w:hAnsi="Verdana" w:cs="Arial"/>
                <w:sz w:val="16"/>
                <w:szCs w:val="16"/>
                <w:lang w:val="lt-LT"/>
              </w:rPr>
              <w:t xml:space="preserve">. </w:t>
            </w:r>
            <w:r w:rsidR="00DF0123" w:rsidRPr="008048D3">
              <w:rPr>
                <w:rFonts w:ascii="Verdana" w:hAnsi="Verdana" w:cs="Arial"/>
                <w:sz w:val="16"/>
                <w:szCs w:val="16"/>
                <w:lang w:val="lt-LT"/>
              </w:rPr>
              <w:t>Be to</w:t>
            </w:r>
            <w:r w:rsidR="005E7716" w:rsidRPr="008048D3">
              <w:rPr>
                <w:rFonts w:ascii="Verdana" w:hAnsi="Verdana" w:cs="Arial"/>
                <w:sz w:val="16"/>
                <w:szCs w:val="16"/>
                <w:lang w:val="lt-LT"/>
              </w:rPr>
              <w:t xml:space="preserve">, </w:t>
            </w:r>
            <w:r w:rsidR="00DF0123" w:rsidRPr="008048D3">
              <w:rPr>
                <w:rFonts w:ascii="Verdana" w:hAnsi="Verdana" w:cs="Arial"/>
                <w:sz w:val="16"/>
                <w:szCs w:val="16"/>
                <w:lang w:val="lt-LT"/>
              </w:rPr>
              <w:t xml:space="preserve">Akcijų kaina gali svyruoti ir bet kuriuo metu </w:t>
            </w:r>
            <w:proofErr w:type="spellStart"/>
            <w:r w:rsidR="005E7716" w:rsidRPr="008048D3">
              <w:rPr>
                <w:rFonts w:ascii="Verdana" w:hAnsi="Verdana" w:cs="Arial"/>
                <w:sz w:val="16"/>
                <w:szCs w:val="16"/>
                <w:lang w:val="lt-LT"/>
              </w:rPr>
              <w:t>Nasdaq</w:t>
            </w:r>
            <w:proofErr w:type="spellEnd"/>
            <w:r w:rsidR="005E7716" w:rsidRPr="008048D3">
              <w:rPr>
                <w:rFonts w:ascii="Verdana" w:hAnsi="Verdana" w:cs="Arial"/>
                <w:sz w:val="16"/>
                <w:szCs w:val="16"/>
                <w:lang w:val="lt-LT"/>
              </w:rPr>
              <w:t xml:space="preserve"> Vilnius </w:t>
            </w:r>
            <w:r w:rsidR="00DF0123" w:rsidRPr="008048D3">
              <w:rPr>
                <w:rFonts w:ascii="Verdana" w:hAnsi="Verdana" w:cs="Arial"/>
                <w:sz w:val="16"/>
                <w:szCs w:val="16"/>
                <w:lang w:val="lt-LT"/>
              </w:rPr>
              <w:t xml:space="preserve">biržoje gali būti mažesnė nei ta kaina, kuria Akcijomis prekiaujama </w:t>
            </w:r>
            <w:r w:rsidR="005E7716" w:rsidRPr="008048D3">
              <w:rPr>
                <w:rFonts w:ascii="Verdana" w:hAnsi="Verdana" w:cs="Arial"/>
                <w:sz w:val="16"/>
                <w:szCs w:val="16"/>
                <w:lang w:val="lt-LT"/>
              </w:rPr>
              <w:t>WSE</w:t>
            </w:r>
            <w:r w:rsidR="00DF0123" w:rsidRPr="008048D3">
              <w:rPr>
                <w:rFonts w:ascii="Verdana" w:hAnsi="Verdana" w:cs="Arial"/>
                <w:sz w:val="16"/>
                <w:szCs w:val="16"/>
                <w:lang w:val="lt-LT"/>
              </w:rPr>
              <w:t>, ir atvirkščiai</w:t>
            </w:r>
            <w:r w:rsidR="005E7716" w:rsidRPr="008048D3">
              <w:rPr>
                <w:rFonts w:ascii="Verdana" w:hAnsi="Verdana" w:cs="Arial"/>
                <w:sz w:val="16"/>
                <w:szCs w:val="16"/>
                <w:lang w:val="lt-LT"/>
              </w:rPr>
              <w:t>.</w:t>
            </w:r>
            <w:r w:rsidR="00D27098" w:rsidRPr="008048D3">
              <w:rPr>
                <w:rFonts w:ascii="Verdana" w:hAnsi="Verdana" w:cs="Arial"/>
                <w:sz w:val="16"/>
                <w:szCs w:val="16"/>
                <w:lang w:val="lt-LT"/>
              </w:rPr>
              <w:t xml:space="preserve"> </w:t>
            </w:r>
          </w:p>
        </w:tc>
      </w:tr>
      <w:tr w:rsidR="008F65F5" w:rsidRPr="008048D3" w14:paraId="55771B41" w14:textId="77777777" w:rsidTr="00CA53A5">
        <w:tc>
          <w:tcPr>
            <w:tcW w:w="4999" w:type="pct"/>
            <w:gridSpan w:val="4"/>
            <w:tcBorders>
              <w:left w:val="nil"/>
              <w:right w:val="nil"/>
            </w:tcBorders>
          </w:tcPr>
          <w:p w14:paraId="19C42A4A" w14:textId="77777777" w:rsidR="002D5E3E" w:rsidRPr="008048D3" w:rsidRDefault="002D5E3E" w:rsidP="008F65F5">
            <w:pPr>
              <w:spacing w:before="120"/>
              <w:jc w:val="center"/>
              <w:rPr>
                <w:rFonts w:ascii="Verdana" w:hAnsi="Verdana" w:cs="Arial"/>
                <w:b/>
                <w:sz w:val="16"/>
                <w:szCs w:val="16"/>
                <w:lang w:val="lt-LT"/>
              </w:rPr>
            </w:pPr>
          </w:p>
          <w:p w14:paraId="38FCCDFC" w14:textId="44AF7263" w:rsidR="008F65F5" w:rsidRPr="008048D3" w:rsidRDefault="00735AAE" w:rsidP="008F65F5">
            <w:pPr>
              <w:spacing w:before="120"/>
              <w:jc w:val="center"/>
              <w:rPr>
                <w:rFonts w:ascii="Verdana" w:hAnsi="Verdana" w:cs="Arial"/>
                <w:b/>
                <w:sz w:val="16"/>
                <w:szCs w:val="16"/>
                <w:lang w:val="lt-LT"/>
              </w:rPr>
            </w:pPr>
            <w:r w:rsidRPr="008048D3">
              <w:rPr>
                <w:rFonts w:ascii="Verdana" w:hAnsi="Verdana" w:cs="Arial"/>
                <w:b/>
                <w:sz w:val="16"/>
                <w:szCs w:val="16"/>
                <w:lang w:val="lt-LT"/>
              </w:rPr>
              <w:t xml:space="preserve">E skirsnis. Siūlymas </w:t>
            </w:r>
          </w:p>
        </w:tc>
      </w:tr>
      <w:tr w:rsidR="00D924BF" w:rsidRPr="008048D3" w14:paraId="45461995" w14:textId="77777777" w:rsidTr="00CA53A5">
        <w:tc>
          <w:tcPr>
            <w:tcW w:w="303" w:type="pct"/>
            <w:gridSpan w:val="2"/>
          </w:tcPr>
          <w:p w14:paraId="555D7D3B" w14:textId="0F132CDD" w:rsidR="00D924BF" w:rsidRPr="008048D3" w:rsidRDefault="00D924BF" w:rsidP="00D924BF">
            <w:pPr>
              <w:spacing w:after="40"/>
              <w:rPr>
                <w:rFonts w:ascii="Verdana" w:hAnsi="Verdana" w:cs="Arial"/>
                <w:i/>
                <w:sz w:val="16"/>
                <w:szCs w:val="16"/>
                <w:lang w:val="lt-LT"/>
              </w:rPr>
            </w:pPr>
            <w:r w:rsidRPr="008048D3">
              <w:rPr>
                <w:rFonts w:ascii="Verdana" w:hAnsi="Verdana" w:cs="Arial"/>
                <w:i/>
                <w:sz w:val="16"/>
                <w:szCs w:val="16"/>
                <w:lang w:val="lt-LT"/>
              </w:rPr>
              <w:t xml:space="preserve">Punktas </w:t>
            </w:r>
          </w:p>
        </w:tc>
        <w:tc>
          <w:tcPr>
            <w:tcW w:w="606" w:type="pct"/>
          </w:tcPr>
          <w:p w14:paraId="7E9A1A7E" w14:textId="1A4FF8A7" w:rsidR="00D924BF" w:rsidRPr="008048D3" w:rsidRDefault="00D924BF" w:rsidP="00D924BF">
            <w:pPr>
              <w:spacing w:after="40"/>
              <w:rPr>
                <w:rFonts w:ascii="Verdana" w:hAnsi="Verdana" w:cs="Arial"/>
                <w:i/>
                <w:sz w:val="16"/>
                <w:szCs w:val="16"/>
                <w:lang w:val="lt-LT"/>
              </w:rPr>
            </w:pPr>
            <w:r w:rsidRPr="008048D3">
              <w:rPr>
                <w:rFonts w:ascii="Verdana" w:hAnsi="Verdana" w:cs="Arial"/>
                <w:i/>
                <w:sz w:val="16"/>
                <w:szCs w:val="16"/>
                <w:lang w:val="lt-LT"/>
              </w:rPr>
              <w:t xml:space="preserve">Pavadinimas </w:t>
            </w:r>
          </w:p>
        </w:tc>
        <w:tc>
          <w:tcPr>
            <w:tcW w:w="4090" w:type="pct"/>
          </w:tcPr>
          <w:p w14:paraId="78F760B6" w14:textId="4C16A92F" w:rsidR="00D924BF" w:rsidRPr="008048D3" w:rsidRDefault="00D924BF" w:rsidP="00D924BF">
            <w:pPr>
              <w:spacing w:after="40"/>
              <w:rPr>
                <w:rFonts w:ascii="Verdana" w:hAnsi="Verdana" w:cs="Arial"/>
                <w:i/>
                <w:sz w:val="16"/>
                <w:szCs w:val="16"/>
                <w:lang w:val="lt-LT"/>
              </w:rPr>
            </w:pPr>
            <w:r w:rsidRPr="008048D3">
              <w:rPr>
                <w:rFonts w:ascii="Verdana" w:hAnsi="Verdana" w:cs="Arial"/>
                <w:i/>
                <w:sz w:val="16"/>
                <w:szCs w:val="16"/>
                <w:lang w:val="lt-LT"/>
              </w:rPr>
              <w:t xml:space="preserve">Informacijos atskleidimas </w:t>
            </w:r>
          </w:p>
        </w:tc>
      </w:tr>
      <w:tr w:rsidR="008F65F5" w:rsidRPr="00CD3453" w14:paraId="27C1E132" w14:textId="77777777" w:rsidTr="00CA53A5">
        <w:tc>
          <w:tcPr>
            <w:tcW w:w="303" w:type="pct"/>
            <w:gridSpan w:val="2"/>
          </w:tcPr>
          <w:p w14:paraId="2D503F86" w14:textId="77777777" w:rsidR="008F65F5" w:rsidRPr="008048D3" w:rsidRDefault="008F65F5" w:rsidP="008F65F5">
            <w:pPr>
              <w:rPr>
                <w:rFonts w:ascii="Verdana" w:hAnsi="Verdana" w:cs="Arial"/>
                <w:sz w:val="16"/>
                <w:szCs w:val="16"/>
                <w:lang w:val="lt-LT"/>
              </w:rPr>
            </w:pPr>
            <w:r w:rsidRPr="008048D3">
              <w:rPr>
                <w:rFonts w:ascii="Verdana" w:hAnsi="Verdana" w:cs="Arial"/>
                <w:sz w:val="16"/>
                <w:szCs w:val="16"/>
                <w:lang w:val="lt-LT"/>
              </w:rPr>
              <w:t>E.1</w:t>
            </w:r>
          </w:p>
        </w:tc>
        <w:tc>
          <w:tcPr>
            <w:tcW w:w="606" w:type="pct"/>
          </w:tcPr>
          <w:p w14:paraId="7AA1BBB6" w14:textId="28517EEA" w:rsidR="008F65F5" w:rsidRPr="008048D3" w:rsidRDefault="00647D75" w:rsidP="008F65F5">
            <w:pPr>
              <w:spacing w:after="40"/>
              <w:rPr>
                <w:rFonts w:ascii="Verdana" w:hAnsi="Verdana" w:cs="Arial"/>
                <w:sz w:val="16"/>
                <w:szCs w:val="16"/>
                <w:lang w:val="lt-LT"/>
              </w:rPr>
            </w:pPr>
            <w:r w:rsidRPr="008048D3">
              <w:rPr>
                <w:rFonts w:ascii="Verdana" w:hAnsi="Verdana" w:cs="Arial"/>
                <w:sz w:val="16"/>
                <w:szCs w:val="16"/>
                <w:lang w:val="lt-LT"/>
              </w:rPr>
              <w:t xml:space="preserve">Grynųjų pajamų bendra suma. Emisijos išlaidų bendros sumos prognozė (įskaitant numatomas išlaidas, kurias dengia investuotojas) </w:t>
            </w:r>
          </w:p>
        </w:tc>
        <w:tc>
          <w:tcPr>
            <w:tcW w:w="4090" w:type="pct"/>
          </w:tcPr>
          <w:p w14:paraId="1953BB0C" w14:textId="181195E8" w:rsidR="00B42BBD" w:rsidRPr="008048D3" w:rsidRDefault="00782C58" w:rsidP="00B42BBD">
            <w:pPr>
              <w:jc w:val="both"/>
              <w:rPr>
                <w:rFonts w:ascii="Verdana" w:hAnsi="Verdana" w:cs="Arial"/>
                <w:sz w:val="16"/>
                <w:szCs w:val="16"/>
                <w:lang w:val="lt-LT"/>
              </w:rPr>
            </w:pPr>
            <w:r w:rsidRPr="008048D3">
              <w:rPr>
                <w:rFonts w:ascii="Verdana" w:hAnsi="Verdana" w:cs="Arial"/>
                <w:sz w:val="16"/>
                <w:szCs w:val="16"/>
                <w:lang w:val="lt-LT"/>
              </w:rPr>
              <w:t xml:space="preserve">Pirminiais vertinimais, su </w:t>
            </w:r>
            <w:r w:rsidR="00180364" w:rsidRPr="008048D3">
              <w:rPr>
                <w:rFonts w:ascii="Verdana" w:hAnsi="Verdana" w:cs="Arial"/>
                <w:sz w:val="16"/>
                <w:szCs w:val="16"/>
                <w:lang w:val="lt-LT"/>
              </w:rPr>
              <w:t xml:space="preserve">Siūlymu tiesiogiai susijusios išlaidos turėtų sudaryti apie </w:t>
            </w:r>
            <w:r w:rsidR="00B42BBD" w:rsidRPr="008048D3">
              <w:rPr>
                <w:rFonts w:ascii="Verdana" w:hAnsi="Verdana" w:cs="Arial"/>
                <w:sz w:val="16"/>
                <w:szCs w:val="16"/>
                <w:lang w:val="lt-LT"/>
              </w:rPr>
              <w:t>1</w:t>
            </w:r>
            <w:r w:rsidR="00F42674" w:rsidRPr="008048D3">
              <w:rPr>
                <w:rFonts w:ascii="Verdana" w:hAnsi="Verdana" w:cs="Arial"/>
                <w:sz w:val="16"/>
                <w:szCs w:val="16"/>
                <w:lang w:val="lt-LT"/>
              </w:rPr>
              <w:t> </w:t>
            </w:r>
            <w:r w:rsidR="00B42BBD" w:rsidRPr="008048D3">
              <w:rPr>
                <w:rFonts w:ascii="Verdana" w:hAnsi="Verdana" w:cs="Arial"/>
                <w:sz w:val="16"/>
                <w:szCs w:val="16"/>
                <w:lang w:val="lt-LT"/>
              </w:rPr>
              <w:t>2</w:t>
            </w:r>
            <w:r w:rsidR="00F42674" w:rsidRPr="008048D3">
              <w:rPr>
                <w:rFonts w:ascii="Verdana" w:hAnsi="Verdana" w:cs="Arial"/>
                <w:sz w:val="16"/>
                <w:szCs w:val="16"/>
                <w:lang w:val="lt-LT"/>
              </w:rPr>
              <w:t>00 tūkst.</w:t>
            </w:r>
            <w:r w:rsidR="00B42BBD" w:rsidRPr="008048D3">
              <w:rPr>
                <w:rFonts w:ascii="Verdana" w:hAnsi="Verdana" w:cs="Arial"/>
                <w:sz w:val="16"/>
                <w:szCs w:val="16"/>
                <w:lang w:val="lt-LT"/>
              </w:rPr>
              <w:t xml:space="preserve"> </w:t>
            </w:r>
            <w:r w:rsidR="00403426" w:rsidRPr="008048D3">
              <w:rPr>
                <w:rFonts w:ascii="Verdana" w:hAnsi="Verdana" w:cs="Arial"/>
                <w:sz w:val="16"/>
                <w:szCs w:val="16"/>
                <w:lang w:val="lt-LT"/>
              </w:rPr>
              <w:t xml:space="preserve">EUR. </w:t>
            </w:r>
            <w:r w:rsidR="00F42674" w:rsidRPr="008048D3">
              <w:rPr>
                <w:rFonts w:ascii="Verdana" w:hAnsi="Verdana" w:cs="Arial"/>
                <w:sz w:val="16"/>
                <w:szCs w:val="16"/>
                <w:lang w:val="lt-LT"/>
              </w:rPr>
              <w:t xml:space="preserve">Pagal 2018 m. balandžio 30 d. įvykusio eilinio visuotinio susirinkimo sprendimą, </w:t>
            </w:r>
            <w:r w:rsidR="00ED0B5A" w:rsidRPr="008048D3">
              <w:rPr>
                <w:rFonts w:ascii="Verdana" w:hAnsi="Verdana" w:cs="Arial"/>
                <w:sz w:val="16"/>
                <w:szCs w:val="16"/>
                <w:lang w:val="lt-LT"/>
              </w:rPr>
              <w:t xml:space="preserve">Bendrovė ir Parduodantis akcininkas pasidalins Siūlymo išlaidas </w:t>
            </w:r>
            <w:r w:rsidR="00F42674" w:rsidRPr="008048D3">
              <w:rPr>
                <w:rFonts w:ascii="Verdana" w:hAnsi="Verdana" w:cs="Arial"/>
                <w:sz w:val="16"/>
                <w:szCs w:val="16"/>
                <w:lang w:val="lt-LT"/>
              </w:rPr>
              <w:t>propor</w:t>
            </w:r>
            <w:r w:rsidR="00ED0B5A" w:rsidRPr="008048D3">
              <w:rPr>
                <w:rFonts w:ascii="Verdana" w:hAnsi="Verdana" w:cs="Arial"/>
                <w:sz w:val="16"/>
                <w:szCs w:val="16"/>
                <w:lang w:val="lt-LT"/>
              </w:rPr>
              <w:t>cingai Siūlymo metu parduotų Naujų akcijų ir Parduodamų akcijų skaičiui</w:t>
            </w:r>
            <w:r w:rsidR="00F42674" w:rsidRPr="008048D3">
              <w:rPr>
                <w:rFonts w:ascii="Verdana" w:hAnsi="Verdana" w:cs="Arial"/>
                <w:sz w:val="16"/>
                <w:szCs w:val="16"/>
                <w:lang w:val="lt-LT"/>
              </w:rPr>
              <w:t xml:space="preserve">. </w:t>
            </w:r>
            <w:r w:rsidR="00B42BBD" w:rsidRPr="008048D3">
              <w:rPr>
                <w:rFonts w:ascii="Verdana" w:hAnsi="Verdana" w:cs="Arial"/>
                <w:sz w:val="16"/>
                <w:szCs w:val="16"/>
                <w:lang w:val="lt-LT"/>
              </w:rPr>
              <w:t>T</w:t>
            </w:r>
            <w:r w:rsidR="00180364" w:rsidRPr="008048D3">
              <w:rPr>
                <w:rFonts w:ascii="Verdana" w:hAnsi="Verdana" w:cs="Arial"/>
                <w:sz w:val="16"/>
                <w:szCs w:val="16"/>
                <w:lang w:val="lt-LT"/>
              </w:rPr>
              <w:t xml:space="preserve">odėl skaičiuojama, kad </w:t>
            </w:r>
            <w:r w:rsidR="00ED0B5A" w:rsidRPr="008048D3">
              <w:rPr>
                <w:rFonts w:ascii="Verdana" w:hAnsi="Verdana" w:cs="Arial"/>
                <w:sz w:val="16"/>
                <w:szCs w:val="16"/>
                <w:lang w:val="lt-LT"/>
              </w:rPr>
              <w:t xml:space="preserve">Bendrovės </w:t>
            </w:r>
            <w:r w:rsidR="00180364" w:rsidRPr="008048D3">
              <w:rPr>
                <w:rFonts w:ascii="Verdana" w:hAnsi="Verdana" w:cs="Arial"/>
                <w:sz w:val="16"/>
                <w:szCs w:val="16"/>
                <w:lang w:val="lt-LT"/>
              </w:rPr>
              <w:t xml:space="preserve">Siūlymo </w:t>
            </w:r>
            <w:r w:rsidR="00ED0B5A" w:rsidRPr="008048D3">
              <w:rPr>
                <w:rFonts w:ascii="Verdana" w:hAnsi="Verdana" w:cs="Arial"/>
                <w:sz w:val="16"/>
                <w:szCs w:val="16"/>
                <w:lang w:val="lt-LT"/>
              </w:rPr>
              <w:t xml:space="preserve">metu gauta </w:t>
            </w:r>
            <w:r w:rsidR="00180364" w:rsidRPr="008048D3">
              <w:rPr>
                <w:rFonts w:ascii="Verdana" w:hAnsi="Verdana" w:cs="Arial"/>
                <w:sz w:val="16"/>
                <w:szCs w:val="16"/>
                <w:lang w:val="lt-LT"/>
              </w:rPr>
              <w:t>grynųjų pajamų suma</w:t>
            </w:r>
            <w:r w:rsidR="00ED0B5A" w:rsidRPr="008048D3">
              <w:rPr>
                <w:rFonts w:ascii="Verdana" w:hAnsi="Verdana" w:cs="Arial"/>
                <w:sz w:val="16"/>
                <w:szCs w:val="16"/>
                <w:lang w:val="lt-LT"/>
              </w:rPr>
              <w:t>, taikant kainos ribų vidurio tašką,</w:t>
            </w:r>
            <w:r w:rsidR="00180364" w:rsidRPr="008048D3">
              <w:rPr>
                <w:rFonts w:ascii="Verdana" w:hAnsi="Verdana" w:cs="Arial"/>
                <w:sz w:val="16"/>
                <w:szCs w:val="16"/>
                <w:lang w:val="lt-LT"/>
              </w:rPr>
              <w:t xml:space="preserve"> sieks iki </w:t>
            </w:r>
            <w:r w:rsidR="00ED0B5A" w:rsidRPr="008048D3">
              <w:rPr>
                <w:rFonts w:ascii="Verdana" w:hAnsi="Verdana" w:cs="Arial"/>
                <w:sz w:val="16"/>
                <w:szCs w:val="16"/>
                <w:lang w:val="lt-LT"/>
              </w:rPr>
              <w:t>1</w:t>
            </w:r>
            <w:r w:rsidR="00B42BBD" w:rsidRPr="008048D3">
              <w:rPr>
                <w:rFonts w:ascii="Verdana" w:hAnsi="Verdana" w:cs="Arial"/>
                <w:sz w:val="16"/>
                <w:szCs w:val="16"/>
                <w:lang w:val="lt-LT"/>
              </w:rPr>
              <w:t>8</w:t>
            </w:r>
            <w:r w:rsidR="00ED0B5A" w:rsidRPr="008048D3">
              <w:rPr>
                <w:rFonts w:ascii="Verdana" w:hAnsi="Verdana" w:cs="Arial"/>
                <w:sz w:val="16"/>
                <w:szCs w:val="16"/>
                <w:lang w:val="lt-LT"/>
              </w:rPr>
              <w:t xml:space="preserve"> 200 tūkst. </w:t>
            </w:r>
            <w:r w:rsidR="00403426" w:rsidRPr="008048D3">
              <w:rPr>
                <w:rFonts w:ascii="Verdana" w:hAnsi="Verdana" w:cs="Arial"/>
                <w:sz w:val="16"/>
                <w:szCs w:val="16"/>
                <w:lang w:val="lt-LT"/>
              </w:rPr>
              <w:t>EUR</w:t>
            </w:r>
            <w:r w:rsidR="00ED0B5A" w:rsidRPr="008048D3">
              <w:rPr>
                <w:rFonts w:ascii="Verdana" w:hAnsi="Verdana" w:cs="Arial"/>
                <w:sz w:val="16"/>
                <w:szCs w:val="16"/>
                <w:lang w:val="lt-LT"/>
              </w:rPr>
              <w:t xml:space="preserve"> (t. y. 19 000 tūkst. EUR bendrųjų pajamų, minus maždaug 800 tūkst. EUR, kaip su Siūlymu tiesiogiai susijusių išlaidų proporcingą dalį)</w:t>
            </w:r>
            <w:r w:rsidR="00B42BBD" w:rsidRPr="008048D3">
              <w:rPr>
                <w:rFonts w:ascii="Verdana" w:hAnsi="Verdana" w:cs="Arial"/>
                <w:sz w:val="16"/>
                <w:szCs w:val="16"/>
                <w:lang w:val="lt-LT"/>
              </w:rPr>
              <w:t>.</w:t>
            </w:r>
          </w:p>
          <w:p w14:paraId="21DE3324" w14:textId="3693661C" w:rsidR="0005095F" w:rsidRPr="008048D3" w:rsidRDefault="0005095F" w:rsidP="0005095F">
            <w:pPr>
              <w:jc w:val="both"/>
              <w:rPr>
                <w:rFonts w:ascii="Verdana" w:hAnsi="Verdana" w:cs="Arial"/>
                <w:sz w:val="16"/>
                <w:szCs w:val="16"/>
                <w:lang w:val="lt-LT"/>
              </w:rPr>
            </w:pPr>
          </w:p>
          <w:p w14:paraId="4FC10807" w14:textId="0800FEF2" w:rsidR="0005095F" w:rsidRPr="008048D3" w:rsidRDefault="00180364" w:rsidP="0005095F">
            <w:pPr>
              <w:jc w:val="both"/>
              <w:rPr>
                <w:rFonts w:ascii="Verdana" w:hAnsi="Verdana" w:cs="Arial"/>
                <w:sz w:val="18"/>
                <w:szCs w:val="16"/>
                <w:lang w:val="lt-LT"/>
              </w:rPr>
            </w:pPr>
            <w:r w:rsidRPr="008048D3">
              <w:rPr>
                <w:rFonts w:ascii="Verdana" w:hAnsi="Verdana" w:cs="Arial"/>
                <w:color w:val="000000" w:themeColor="text1"/>
                <w:sz w:val="16"/>
                <w:szCs w:val="15"/>
                <w:lang w:val="lt-LT" w:eastAsia="en-GB"/>
              </w:rPr>
              <w:t>Emitentas gaus grynąsias pajamas tik iš Naujų akcijų pardavimo</w:t>
            </w:r>
            <w:r w:rsidR="0005095F" w:rsidRPr="008048D3">
              <w:rPr>
                <w:rFonts w:ascii="Verdana" w:hAnsi="Verdana" w:cs="Arial"/>
                <w:color w:val="000000" w:themeColor="text1"/>
                <w:sz w:val="16"/>
                <w:szCs w:val="15"/>
                <w:lang w:val="lt-LT" w:eastAsia="en-GB"/>
              </w:rPr>
              <w:t xml:space="preserve">, </w:t>
            </w:r>
            <w:r w:rsidRPr="008048D3">
              <w:rPr>
                <w:rFonts w:ascii="Verdana" w:hAnsi="Verdana" w:cs="Arial"/>
                <w:color w:val="000000" w:themeColor="text1"/>
                <w:sz w:val="16"/>
                <w:szCs w:val="15"/>
                <w:lang w:val="lt-LT" w:eastAsia="en-GB"/>
              </w:rPr>
              <w:t>o Parduodantis akcininkas gaus grynąsias pajamas iš savo Parduodamų akcijų pardavimo</w:t>
            </w:r>
            <w:r w:rsidR="0005095F" w:rsidRPr="008048D3">
              <w:rPr>
                <w:rFonts w:ascii="Verdana" w:hAnsi="Verdana" w:cs="Arial"/>
                <w:color w:val="000000" w:themeColor="text1"/>
                <w:sz w:val="16"/>
                <w:szCs w:val="15"/>
                <w:lang w:val="lt-LT" w:eastAsia="en-GB"/>
              </w:rPr>
              <w:t>.</w:t>
            </w:r>
          </w:p>
          <w:p w14:paraId="2FD81B14" w14:textId="77E6C9CF" w:rsidR="00C849BC" w:rsidRPr="008048D3" w:rsidRDefault="00C849BC" w:rsidP="002A4A6C">
            <w:pPr>
              <w:jc w:val="both"/>
              <w:rPr>
                <w:rFonts w:ascii="Verdana" w:hAnsi="Verdana" w:cs="Arial"/>
                <w:sz w:val="16"/>
                <w:szCs w:val="16"/>
                <w:lang w:val="lt-LT"/>
              </w:rPr>
            </w:pPr>
          </w:p>
          <w:p w14:paraId="6BD90BBF" w14:textId="1A0FBFC1" w:rsidR="002D2A86" w:rsidRPr="008048D3" w:rsidRDefault="00180364" w:rsidP="002A4A6C">
            <w:pPr>
              <w:jc w:val="both"/>
              <w:rPr>
                <w:rFonts w:ascii="Verdana" w:hAnsi="Verdana" w:cs="Arial"/>
                <w:sz w:val="16"/>
                <w:szCs w:val="16"/>
                <w:lang w:val="lt-LT"/>
              </w:rPr>
            </w:pPr>
            <w:r w:rsidRPr="008048D3">
              <w:rPr>
                <w:rFonts w:ascii="Verdana" w:hAnsi="Verdana" w:cs="Arial"/>
                <w:color w:val="000000" w:themeColor="text1"/>
                <w:sz w:val="16"/>
                <w:szCs w:val="15"/>
                <w:lang w:val="lt-LT" w:eastAsia="en-GB"/>
              </w:rPr>
              <w:t xml:space="preserve">Parduodantis akcininkas ir Bendrovė pasidalins pirmiau nurodytas išlaidas </w:t>
            </w:r>
            <w:r w:rsidR="002D2A86" w:rsidRPr="008048D3">
              <w:rPr>
                <w:rFonts w:ascii="Verdana" w:hAnsi="Verdana"/>
                <w:sz w:val="16"/>
                <w:szCs w:val="16"/>
                <w:lang w:val="lt-LT" w:eastAsia="lt-LT"/>
              </w:rPr>
              <w:t>propor</w:t>
            </w:r>
            <w:r w:rsidRPr="008048D3">
              <w:rPr>
                <w:rFonts w:ascii="Verdana" w:hAnsi="Verdana"/>
                <w:sz w:val="16"/>
                <w:szCs w:val="16"/>
                <w:lang w:val="lt-LT" w:eastAsia="lt-LT"/>
              </w:rPr>
              <w:t>cingai parduotoms Siūlomoms akcijoms</w:t>
            </w:r>
            <w:r w:rsidR="002D2A86" w:rsidRPr="008048D3">
              <w:rPr>
                <w:rFonts w:ascii="Verdana" w:hAnsi="Verdana"/>
                <w:sz w:val="16"/>
                <w:szCs w:val="16"/>
                <w:lang w:val="lt-LT" w:eastAsia="lt-LT"/>
              </w:rPr>
              <w:t>.</w:t>
            </w:r>
          </w:p>
          <w:p w14:paraId="6CF3CE9A" w14:textId="17AB2DAA" w:rsidR="002D2A86" w:rsidRPr="008048D3" w:rsidRDefault="002D2A86" w:rsidP="002A4A6C">
            <w:pPr>
              <w:jc w:val="both"/>
              <w:rPr>
                <w:rFonts w:ascii="Verdana" w:hAnsi="Verdana" w:cs="Arial"/>
                <w:sz w:val="16"/>
                <w:szCs w:val="16"/>
                <w:lang w:val="lt-LT"/>
              </w:rPr>
            </w:pPr>
          </w:p>
          <w:p w14:paraId="1D03918D" w14:textId="03563795" w:rsidR="002D2A86" w:rsidRPr="008048D3" w:rsidRDefault="00180364" w:rsidP="002A4A6C">
            <w:pPr>
              <w:jc w:val="both"/>
              <w:rPr>
                <w:rFonts w:ascii="Verdana" w:hAnsi="Verdana" w:cs="Arial"/>
                <w:sz w:val="16"/>
                <w:szCs w:val="16"/>
                <w:lang w:val="lt-LT"/>
              </w:rPr>
            </w:pPr>
            <w:r w:rsidRPr="008048D3">
              <w:rPr>
                <w:rFonts w:ascii="Verdana" w:hAnsi="Verdana"/>
                <w:sz w:val="16"/>
                <w:szCs w:val="16"/>
                <w:lang w:val="lt-LT"/>
              </w:rPr>
              <w:t>Galutinė Bendrovės dengiama išlaidų suma bus apskaičiuota po Siūlymo ir viešai paskelbta per dvi savaites nuo Atsiskaitymo dienos</w:t>
            </w:r>
            <w:r w:rsidR="002D2A86" w:rsidRPr="008048D3">
              <w:rPr>
                <w:rFonts w:ascii="Verdana" w:hAnsi="Verdana"/>
                <w:sz w:val="16"/>
                <w:szCs w:val="16"/>
                <w:lang w:val="lt-LT"/>
              </w:rPr>
              <w:t>.</w:t>
            </w:r>
          </w:p>
          <w:p w14:paraId="15FFB37A" w14:textId="77777777" w:rsidR="002D2A86" w:rsidRPr="008048D3" w:rsidRDefault="002D2A86" w:rsidP="002A4A6C">
            <w:pPr>
              <w:jc w:val="both"/>
              <w:rPr>
                <w:rFonts w:ascii="Verdana" w:hAnsi="Verdana" w:cs="Arial"/>
                <w:sz w:val="16"/>
                <w:szCs w:val="16"/>
                <w:lang w:val="lt-LT"/>
              </w:rPr>
            </w:pPr>
          </w:p>
          <w:p w14:paraId="29AB32A0" w14:textId="150C922B" w:rsidR="00B42BBD" w:rsidRPr="008048D3" w:rsidRDefault="00B42BBD" w:rsidP="002A4A6C">
            <w:pPr>
              <w:jc w:val="both"/>
              <w:rPr>
                <w:rFonts w:ascii="Verdana" w:hAnsi="Verdana" w:cs="Arial"/>
                <w:sz w:val="16"/>
                <w:szCs w:val="16"/>
                <w:lang w:val="lt-LT"/>
              </w:rPr>
            </w:pPr>
            <w:r w:rsidRPr="008048D3">
              <w:rPr>
                <w:rFonts w:ascii="Verdana" w:hAnsi="Verdana" w:cs="Arial"/>
                <w:sz w:val="16"/>
                <w:szCs w:val="16"/>
                <w:lang w:val="lt-LT"/>
              </w:rPr>
              <w:t>Invest</w:t>
            </w:r>
            <w:r w:rsidR="00180364" w:rsidRPr="008048D3">
              <w:rPr>
                <w:rFonts w:ascii="Verdana" w:hAnsi="Verdana" w:cs="Arial"/>
                <w:sz w:val="16"/>
                <w:szCs w:val="16"/>
                <w:lang w:val="lt-LT"/>
              </w:rPr>
              <w:t>uotojai neturės padengti jokių su Siūlymu susijusių Emitento, Parduodančio akcinink</w:t>
            </w:r>
            <w:r w:rsidR="002A3CFE" w:rsidRPr="008048D3">
              <w:rPr>
                <w:rFonts w:ascii="Verdana" w:hAnsi="Verdana" w:cs="Arial"/>
                <w:sz w:val="16"/>
                <w:szCs w:val="16"/>
                <w:lang w:val="lt-LT"/>
              </w:rPr>
              <w:t>o</w:t>
            </w:r>
            <w:r w:rsidRPr="008048D3">
              <w:rPr>
                <w:rFonts w:ascii="Verdana" w:hAnsi="Verdana" w:cs="Arial"/>
                <w:sz w:val="16"/>
                <w:szCs w:val="16"/>
                <w:lang w:val="lt-LT"/>
              </w:rPr>
              <w:t xml:space="preserve"> </w:t>
            </w:r>
            <w:r w:rsidR="00180364" w:rsidRPr="008048D3">
              <w:rPr>
                <w:rFonts w:ascii="Verdana" w:hAnsi="Verdana" w:cs="Arial"/>
                <w:sz w:val="16"/>
                <w:szCs w:val="16"/>
                <w:lang w:val="lt-LT"/>
              </w:rPr>
              <w:t>arba Pasaulinio pagrindinio platintojo išlaidų</w:t>
            </w:r>
            <w:r w:rsidRPr="008048D3">
              <w:rPr>
                <w:rFonts w:ascii="Verdana" w:hAnsi="Verdana" w:cs="Arial"/>
                <w:sz w:val="16"/>
                <w:szCs w:val="16"/>
                <w:lang w:val="lt-LT"/>
              </w:rPr>
              <w:t xml:space="preserve">. </w:t>
            </w:r>
            <w:r w:rsidR="00180364" w:rsidRPr="008048D3">
              <w:rPr>
                <w:rFonts w:ascii="Verdana" w:hAnsi="Verdana" w:cs="Arial"/>
                <w:sz w:val="16"/>
                <w:szCs w:val="16"/>
                <w:lang w:val="lt-LT"/>
              </w:rPr>
              <w:t xml:space="preserve">Tačiau Investuotojams teks padengti </w:t>
            </w:r>
            <w:r w:rsidR="00EF3C05" w:rsidRPr="008048D3">
              <w:rPr>
                <w:rFonts w:ascii="Verdana" w:hAnsi="Verdana" w:cs="Arial"/>
                <w:sz w:val="16"/>
                <w:szCs w:val="16"/>
                <w:lang w:val="lt-LT"/>
              </w:rPr>
              <w:t xml:space="preserve">visas </w:t>
            </w:r>
            <w:r w:rsidR="00180364" w:rsidRPr="008048D3">
              <w:rPr>
                <w:rFonts w:ascii="Verdana" w:hAnsi="Verdana" w:cs="Arial"/>
                <w:sz w:val="16"/>
                <w:szCs w:val="16"/>
                <w:lang w:val="lt-LT"/>
              </w:rPr>
              <w:t>išlaidas</w:t>
            </w:r>
            <w:r w:rsidR="00EF3C05" w:rsidRPr="008048D3">
              <w:rPr>
                <w:rFonts w:ascii="Verdana" w:hAnsi="Verdana" w:cs="Arial"/>
                <w:sz w:val="16"/>
                <w:szCs w:val="16"/>
                <w:lang w:val="lt-LT"/>
              </w:rPr>
              <w:t xml:space="preserve"> ir mokesčius</w:t>
            </w:r>
            <w:r w:rsidR="00180364" w:rsidRPr="008048D3">
              <w:rPr>
                <w:rFonts w:ascii="Verdana" w:hAnsi="Verdana" w:cs="Arial"/>
                <w:sz w:val="16"/>
                <w:szCs w:val="16"/>
                <w:lang w:val="lt-LT"/>
              </w:rPr>
              <w:t xml:space="preserve">, </w:t>
            </w:r>
            <w:r w:rsidR="00EF3C05" w:rsidRPr="008048D3">
              <w:rPr>
                <w:rFonts w:ascii="Verdana" w:hAnsi="Verdana" w:cs="Arial"/>
                <w:sz w:val="16"/>
                <w:szCs w:val="16"/>
                <w:lang w:val="lt-LT"/>
              </w:rPr>
              <w:t>kuriuos taiko atitinkama Dalyvaujanti institucija</w:t>
            </w:r>
            <w:r w:rsidR="00315338" w:rsidRPr="008048D3">
              <w:rPr>
                <w:rFonts w:ascii="Verdana" w:hAnsi="Verdana" w:cs="Arial"/>
                <w:sz w:val="16"/>
                <w:szCs w:val="16"/>
                <w:lang w:val="lt-LT"/>
              </w:rPr>
              <w:t xml:space="preserve"> (toliau – </w:t>
            </w:r>
            <w:r w:rsidR="00315338" w:rsidRPr="008048D3">
              <w:rPr>
                <w:rFonts w:ascii="Verdana" w:hAnsi="Verdana" w:cs="Arial"/>
                <w:b/>
                <w:sz w:val="16"/>
                <w:szCs w:val="16"/>
                <w:lang w:val="lt-LT"/>
              </w:rPr>
              <w:t>Dalyvaujanti institucija</w:t>
            </w:r>
            <w:r w:rsidR="00315338" w:rsidRPr="008048D3">
              <w:rPr>
                <w:rFonts w:ascii="Verdana" w:hAnsi="Verdana" w:cs="Arial"/>
                <w:sz w:val="16"/>
                <w:szCs w:val="16"/>
                <w:lang w:val="lt-LT"/>
              </w:rPr>
              <w:t>)</w:t>
            </w:r>
            <w:r w:rsidR="00EF3C05" w:rsidRPr="008048D3">
              <w:rPr>
                <w:rFonts w:ascii="Verdana" w:hAnsi="Verdana" w:cs="Arial"/>
                <w:sz w:val="16"/>
                <w:szCs w:val="16"/>
                <w:lang w:val="lt-LT"/>
              </w:rPr>
              <w:t>, per kurią jie pateikia savo Pasirašymo pavedimus</w:t>
            </w:r>
            <w:r w:rsidRPr="008048D3">
              <w:rPr>
                <w:rFonts w:ascii="Verdana" w:hAnsi="Verdana" w:cs="Arial"/>
                <w:sz w:val="16"/>
                <w:szCs w:val="16"/>
                <w:lang w:val="lt-LT"/>
              </w:rPr>
              <w:t>. T</w:t>
            </w:r>
            <w:r w:rsidR="00EF3C05" w:rsidRPr="008048D3">
              <w:rPr>
                <w:rFonts w:ascii="Verdana" w:hAnsi="Verdana" w:cs="Arial"/>
                <w:sz w:val="16"/>
                <w:szCs w:val="16"/>
                <w:lang w:val="lt-LT"/>
              </w:rPr>
              <w:t>ai gali apimti Pasirašymo pavedimo pateikimo, koregavimo arba atšaukimo, taip pat atsiskaitymo vykdant sandorį išlaidas ir mokesčius</w:t>
            </w:r>
            <w:r w:rsidRPr="008048D3">
              <w:rPr>
                <w:rFonts w:ascii="Verdana" w:hAnsi="Verdana" w:cs="Arial"/>
                <w:sz w:val="16"/>
                <w:szCs w:val="16"/>
                <w:lang w:val="lt-LT"/>
              </w:rPr>
              <w:t xml:space="preserve">. </w:t>
            </w:r>
            <w:r w:rsidR="00EF3C05" w:rsidRPr="008048D3">
              <w:rPr>
                <w:rFonts w:ascii="Verdana" w:hAnsi="Verdana" w:cs="Arial"/>
                <w:sz w:val="16"/>
                <w:szCs w:val="16"/>
                <w:lang w:val="lt-LT"/>
              </w:rPr>
              <w:t>Šios išlaidos ir mokesčiai gali skirtis priklausomai nuo konkrečios finansų įstaigos nustatytų kainų ir taisyklių</w:t>
            </w:r>
            <w:r w:rsidRPr="008048D3">
              <w:rPr>
                <w:rFonts w:ascii="Verdana" w:hAnsi="Verdana" w:cs="Arial"/>
                <w:sz w:val="16"/>
                <w:szCs w:val="16"/>
                <w:lang w:val="lt-LT"/>
              </w:rPr>
              <w:t>.</w:t>
            </w:r>
          </w:p>
        </w:tc>
      </w:tr>
      <w:tr w:rsidR="008F65F5" w:rsidRPr="008048D3" w14:paraId="13FFF8A9" w14:textId="77777777" w:rsidTr="00AC7E31">
        <w:trPr>
          <w:trHeight w:val="1265"/>
        </w:trPr>
        <w:tc>
          <w:tcPr>
            <w:tcW w:w="303" w:type="pct"/>
            <w:gridSpan w:val="2"/>
            <w:tcBorders>
              <w:bottom w:val="nil"/>
            </w:tcBorders>
          </w:tcPr>
          <w:p w14:paraId="53E8F010" w14:textId="77777777" w:rsidR="008F65F5" w:rsidRPr="008048D3" w:rsidRDefault="008F65F5" w:rsidP="008F65F5">
            <w:pPr>
              <w:rPr>
                <w:rFonts w:ascii="Verdana" w:hAnsi="Verdana" w:cs="Arial"/>
                <w:sz w:val="16"/>
                <w:szCs w:val="16"/>
                <w:lang w:val="lt-LT"/>
              </w:rPr>
            </w:pPr>
            <w:r w:rsidRPr="008048D3">
              <w:rPr>
                <w:rFonts w:ascii="Verdana" w:hAnsi="Verdana" w:cs="Arial"/>
                <w:sz w:val="16"/>
                <w:szCs w:val="16"/>
                <w:lang w:val="lt-LT"/>
              </w:rPr>
              <w:t>E.2a</w:t>
            </w:r>
          </w:p>
        </w:tc>
        <w:tc>
          <w:tcPr>
            <w:tcW w:w="606" w:type="pct"/>
            <w:tcBorders>
              <w:bottom w:val="nil"/>
            </w:tcBorders>
          </w:tcPr>
          <w:p w14:paraId="2A4E78CB" w14:textId="66EE104B" w:rsidR="008F65F5" w:rsidRPr="008048D3" w:rsidRDefault="00647D75" w:rsidP="008F65F5">
            <w:pPr>
              <w:spacing w:after="40"/>
              <w:rPr>
                <w:rFonts w:ascii="Verdana" w:hAnsi="Verdana" w:cs="Arial"/>
                <w:sz w:val="16"/>
                <w:szCs w:val="16"/>
                <w:lang w:val="lt-LT"/>
              </w:rPr>
            </w:pPr>
            <w:r w:rsidRPr="008048D3">
              <w:rPr>
                <w:rFonts w:ascii="Verdana" w:hAnsi="Verdana" w:cs="Arial"/>
                <w:sz w:val="16"/>
                <w:szCs w:val="16"/>
                <w:lang w:val="lt-LT"/>
              </w:rPr>
              <w:t xml:space="preserve">Emisijos priežastys / Pajamų naudojimas / Numatoma grynoji pajamų suma  </w:t>
            </w:r>
          </w:p>
        </w:tc>
        <w:tc>
          <w:tcPr>
            <w:tcW w:w="4090" w:type="pct"/>
            <w:tcBorders>
              <w:bottom w:val="nil"/>
            </w:tcBorders>
          </w:tcPr>
          <w:p w14:paraId="5EA7A9D6" w14:textId="58E27161" w:rsidR="006E420E" w:rsidRPr="008048D3" w:rsidRDefault="00C8794C" w:rsidP="006E420E">
            <w:pPr>
              <w:jc w:val="both"/>
              <w:rPr>
                <w:rFonts w:ascii="Verdana" w:hAnsi="Verdana" w:cs="Arial"/>
                <w:sz w:val="16"/>
                <w:szCs w:val="16"/>
                <w:lang w:val="lt-LT"/>
              </w:rPr>
            </w:pPr>
            <w:r w:rsidRPr="008048D3">
              <w:rPr>
                <w:rFonts w:ascii="Verdana" w:hAnsi="Verdana" w:cs="Arial"/>
                <w:sz w:val="16"/>
                <w:szCs w:val="16"/>
                <w:lang w:val="lt-LT"/>
              </w:rPr>
              <w:t xml:space="preserve">Bendrovė ketina panaudoti </w:t>
            </w:r>
            <w:r w:rsidR="004808C3" w:rsidRPr="008048D3">
              <w:rPr>
                <w:rFonts w:ascii="Verdana" w:hAnsi="Verdana" w:cs="Arial"/>
                <w:sz w:val="16"/>
                <w:szCs w:val="16"/>
                <w:lang w:val="lt-LT"/>
              </w:rPr>
              <w:t xml:space="preserve">iš Siūlymo gautas grynąsias pajamas daugiausia Bendrovės vykdomiems plėtros projektams finansuoti </w:t>
            </w:r>
            <w:r w:rsidR="006E420E" w:rsidRPr="008048D3">
              <w:rPr>
                <w:rFonts w:ascii="Verdana" w:hAnsi="Verdana" w:cs="Arial"/>
                <w:sz w:val="16"/>
                <w:szCs w:val="16"/>
                <w:lang w:val="lt-LT"/>
              </w:rPr>
              <w:t>(</w:t>
            </w:r>
            <w:r w:rsidR="004808C3" w:rsidRPr="008048D3">
              <w:rPr>
                <w:rFonts w:ascii="Verdana" w:hAnsi="Verdana" w:cs="Arial"/>
                <w:sz w:val="16"/>
                <w:szCs w:val="16"/>
                <w:lang w:val="lt-LT"/>
              </w:rPr>
              <w:t>kurie, bet kita ko, gali apimti įsigijimus</w:t>
            </w:r>
            <w:r w:rsidR="006E420E" w:rsidRPr="008048D3">
              <w:rPr>
                <w:rFonts w:ascii="Verdana" w:hAnsi="Verdana" w:cs="Arial"/>
                <w:sz w:val="16"/>
                <w:szCs w:val="16"/>
                <w:lang w:val="lt-LT"/>
              </w:rPr>
              <w:t xml:space="preserve">), </w:t>
            </w:r>
            <w:r w:rsidR="004808C3" w:rsidRPr="008048D3">
              <w:rPr>
                <w:rFonts w:ascii="Verdana" w:hAnsi="Verdana" w:cs="Arial"/>
                <w:sz w:val="16"/>
                <w:szCs w:val="16"/>
                <w:lang w:val="lt-LT"/>
              </w:rPr>
              <w:t>tuo padėdama pagrindą tolesnei verslo plėtrai tiek šalies viduje, tiek tarptautiniu mastu</w:t>
            </w:r>
            <w:r w:rsidR="006E420E" w:rsidRPr="008048D3">
              <w:rPr>
                <w:rFonts w:ascii="Verdana" w:hAnsi="Verdana" w:cs="Arial"/>
                <w:sz w:val="16"/>
                <w:szCs w:val="16"/>
                <w:lang w:val="lt-LT"/>
              </w:rPr>
              <w:t xml:space="preserve">. </w:t>
            </w:r>
            <w:r w:rsidR="004808C3" w:rsidRPr="008048D3">
              <w:rPr>
                <w:rFonts w:ascii="Verdana" w:hAnsi="Verdana" w:cs="Arial"/>
                <w:sz w:val="16"/>
                <w:szCs w:val="16"/>
                <w:lang w:val="lt-LT"/>
              </w:rPr>
              <w:t>Vadovybė tiki, kad tai suteiks galimybių tenkinti augančią paklausą ekologiškų produktų rinkose ir plėsti galutiniams vartotojams skirtų ekologiškų produktų gamybą</w:t>
            </w:r>
            <w:r w:rsidR="006E420E" w:rsidRPr="008048D3">
              <w:rPr>
                <w:rFonts w:ascii="Verdana" w:hAnsi="Verdana" w:cs="Arial"/>
                <w:sz w:val="16"/>
                <w:szCs w:val="16"/>
                <w:lang w:val="lt-LT"/>
              </w:rPr>
              <w:t xml:space="preserve">. </w:t>
            </w:r>
            <w:r w:rsidR="004808C3" w:rsidRPr="008048D3">
              <w:rPr>
                <w:rFonts w:ascii="Verdana" w:hAnsi="Verdana" w:cs="Arial"/>
                <w:sz w:val="16"/>
                <w:szCs w:val="16"/>
                <w:lang w:val="lt-LT"/>
              </w:rPr>
              <w:t xml:space="preserve">Per kelis pastaruosius metus Bendrovė sėkmingai vykdė savo </w:t>
            </w:r>
            <w:r w:rsidR="006E420E" w:rsidRPr="008048D3">
              <w:rPr>
                <w:rFonts w:ascii="Verdana" w:hAnsi="Verdana" w:cs="Arial"/>
                <w:sz w:val="16"/>
                <w:szCs w:val="16"/>
                <w:lang w:val="lt-LT"/>
              </w:rPr>
              <w:t>strategi</w:t>
            </w:r>
            <w:r w:rsidR="004808C3" w:rsidRPr="008048D3">
              <w:rPr>
                <w:rFonts w:ascii="Verdana" w:hAnsi="Verdana" w:cs="Arial"/>
                <w:sz w:val="16"/>
                <w:szCs w:val="16"/>
                <w:lang w:val="lt-LT"/>
              </w:rPr>
              <w:t xml:space="preserve">nius </w:t>
            </w:r>
            <w:r w:rsidR="006E420E" w:rsidRPr="008048D3">
              <w:rPr>
                <w:rFonts w:ascii="Verdana" w:hAnsi="Verdana" w:cs="Arial"/>
                <w:sz w:val="16"/>
                <w:szCs w:val="16"/>
                <w:lang w:val="lt-LT"/>
              </w:rPr>
              <w:t>plan</w:t>
            </w:r>
            <w:r w:rsidR="004808C3" w:rsidRPr="008048D3">
              <w:rPr>
                <w:rFonts w:ascii="Verdana" w:hAnsi="Verdana" w:cs="Arial"/>
                <w:sz w:val="16"/>
                <w:szCs w:val="16"/>
                <w:lang w:val="lt-LT"/>
              </w:rPr>
              <w:t>u</w:t>
            </w:r>
            <w:r w:rsidR="006E420E" w:rsidRPr="008048D3">
              <w:rPr>
                <w:rFonts w:ascii="Verdana" w:hAnsi="Verdana" w:cs="Arial"/>
                <w:sz w:val="16"/>
                <w:szCs w:val="16"/>
                <w:lang w:val="lt-LT"/>
              </w:rPr>
              <w:t xml:space="preserve">s </w:t>
            </w:r>
            <w:r w:rsidR="004808C3" w:rsidRPr="008048D3">
              <w:rPr>
                <w:rFonts w:ascii="Verdana" w:hAnsi="Verdana" w:cs="Arial"/>
                <w:sz w:val="16"/>
                <w:szCs w:val="16"/>
                <w:lang w:val="lt-LT"/>
              </w:rPr>
              <w:t xml:space="preserve">pasirašydama </w:t>
            </w:r>
            <w:r w:rsidR="00774C8A" w:rsidRPr="008048D3">
              <w:rPr>
                <w:rFonts w:ascii="Verdana" w:hAnsi="Verdana" w:cs="Arial"/>
                <w:sz w:val="16"/>
                <w:szCs w:val="16"/>
                <w:lang w:val="lt-LT"/>
              </w:rPr>
              <w:t xml:space="preserve">sėkmingus KTG </w:t>
            </w:r>
            <w:proofErr w:type="spellStart"/>
            <w:r w:rsidR="00774C8A" w:rsidRPr="008048D3">
              <w:rPr>
                <w:rFonts w:ascii="Verdana" w:hAnsi="Verdana" w:cs="Arial"/>
                <w:sz w:val="16"/>
                <w:szCs w:val="16"/>
                <w:lang w:val="lt-LT"/>
              </w:rPr>
              <w:t>Agrar</w:t>
            </w:r>
            <w:proofErr w:type="spellEnd"/>
            <w:r w:rsidR="00774C8A" w:rsidRPr="008048D3">
              <w:rPr>
                <w:rFonts w:ascii="Verdana" w:hAnsi="Verdana" w:cs="Arial"/>
                <w:sz w:val="16"/>
                <w:szCs w:val="16"/>
                <w:lang w:val="lt-LT"/>
              </w:rPr>
              <w:t xml:space="preserve"> įmonių verslo Lietuvoje ir UAB „Raseinių </w:t>
            </w:r>
            <w:proofErr w:type="spellStart"/>
            <w:r w:rsidR="00774C8A" w:rsidRPr="008048D3">
              <w:rPr>
                <w:rFonts w:ascii="Verdana" w:hAnsi="Verdana" w:cs="Arial"/>
                <w:sz w:val="16"/>
                <w:szCs w:val="16"/>
                <w:lang w:val="lt-LT"/>
              </w:rPr>
              <w:t>agra</w:t>
            </w:r>
            <w:proofErr w:type="spellEnd"/>
            <w:r w:rsidR="00774C8A" w:rsidRPr="008048D3">
              <w:rPr>
                <w:rFonts w:ascii="Verdana" w:hAnsi="Verdana" w:cs="Arial"/>
                <w:sz w:val="16"/>
                <w:szCs w:val="16"/>
                <w:lang w:val="lt-LT"/>
              </w:rPr>
              <w:t xml:space="preserve">“ </w:t>
            </w:r>
            <w:r w:rsidR="004808C3" w:rsidRPr="008048D3">
              <w:rPr>
                <w:rFonts w:ascii="Verdana" w:hAnsi="Verdana" w:cs="Arial"/>
                <w:sz w:val="16"/>
                <w:szCs w:val="16"/>
                <w:lang w:val="lt-LT"/>
              </w:rPr>
              <w:t>įsigijimo sandori</w:t>
            </w:r>
            <w:r w:rsidR="00774C8A" w:rsidRPr="008048D3">
              <w:rPr>
                <w:rFonts w:ascii="Verdana" w:hAnsi="Verdana" w:cs="Arial"/>
                <w:sz w:val="16"/>
                <w:szCs w:val="16"/>
                <w:lang w:val="lt-LT"/>
              </w:rPr>
              <w:t>us</w:t>
            </w:r>
            <w:r w:rsidR="004808C3" w:rsidRPr="008048D3">
              <w:rPr>
                <w:rFonts w:ascii="Verdana" w:hAnsi="Verdana" w:cs="Arial"/>
                <w:sz w:val="16"/>
                <w:szCs w:val="16"/>
                <w:lang w:val="lt-LT"/>
              </w:rPr>
              <w:t xml:space="preserve"> ir rodė gerėjančius verslo rezultatus</w:t>
            </w:r>
            <w:r w:rsidR="006E420E" w:rsidRPr="008048D3">
              <w:rPr>
                <w:rFonts w:ascii="Verdana" w:hAnsi="Verdana" w:cs="Arial"/>
                <w:sz w:val="16"/>
                <w:szCs w:val="16"/>
                <w:lang w:val="lt-LT"/>
              </w:rPr>
              <w:t xml:space="preserve">. </w:t>
            </w:r>
          </w:p>
          <w:p w14:paraId="1408D933" w14:textId="77777777" w:rsidR="006E420E" w:rsidRPr="008048D3" w:rsidRDefault="006E420E" w:rsidP="006E420E">
            <w:pPr>
              <w:jc w:val="both"/>
              <w:rPr>
                <w:rFonts w:ascii="Verdana" w:hAnsi="Verdana" w:cs="Arial"/>
                <w:sz w:val="16"/>
                <w:szCs w:val="16"/>
                <w:lang w:val="lt-LT"/>
              </w:rPr>
            </w:pPr>
          </w:p>
          <w:p w14:paraId="6D502F8F" w14:textId="7097632C" w:rsidR="006E420E" w:rsidRPr="008048D3" w:rsidRDefault="004808C3" w:rsidP="006E420E">
            <w:pPr>
              <w:jc w:val="both"/>
              <w:rPr>
                <w:rFonts w:ascii="Verdana" w:hAnsi="Verdana" w:cs="Arial"/>
                <w:sz w:val="16"/>
                <w:szCs w:val="16"/>
                <w:lang w:val="lt-LT"/>
              </w:rPr>
            </w:pPr>
            <w:r w:rsidRPr="008048D3">
              <w:rPr>
                <w:rFonts w:ascii="Verdana" w:hAnsi="Verdana" w:cs="Arial"/>
                <w:sz w:val="16"/>
                <w:szCs w:val="16"/>
                <w:lang w:val="lt-LT"/>
              </w:rPr>
              <w:t>Planuojamas Bendrovės gautų pajamų naudojimas pateiktas toliau esančioje lentelėje</w:t>
            </w:r>
            <w:r w:rsidR="006E420E" w:rsidRPr="008048D3">
              <w:rPr>
                <w:rFonts w:ascii="Verdana" w:hAnsi="Verdana" w:cs="Arial"/>
                <w:sz w:val="16"/>
                <w:szCs w:val="16"/>
                <w:lang w:val="lt-LT"/>
              </w:rPr>
              <w:t>.</w:t>
            </w:r>
            <w:r w:rsidR="00B761CC" w:rsidRPr="008048D3">
              <w:rPr>
                <w:rFonts w:ascii="Verdana" w:hAnsi="Verdana" w:cs="Arial"/>
                <w:sz w:val="16"/>
                <w:szCs w:val="16"/>
                <w:lang w:val="lt-LT"/>
              </w:rPr>
              <w:t xml:space="preserve"> Numatoma taikyti nuosavo kapitalo, </w:t>
            </w:r>
            <w:r w:rsidR="004F2DD3" w:rsidRPr="008048D3">
              <w:rPr>
                <w:rFonts w:ascii="Verdana" w:hAnsi="Verdana" w:cs="Arial"/>
                <w:sz w:val="16"/>
                <w:szCs w:val="16"/>
                <w:lang w:val="lt-LT"/>
              </w:rPr>
              <w:t>banko pa</w:t>
            </w:r>
            <w:r w:rsidR="00B761CC" w:rsidRPr="008048D3">
              <w:rPr>
                <w:rFonts w:ascii="Verdana" w:hAnsi="Verdana" w:cs="Arial"/>
                <w:sz w:val="16"/>
                <w:szCs w:val="16"/>
                <w:lang w:val="lt-LT"/>
              </w:rPr>
              <w:t>skol</w:t>
            </w:r>
            <w:r w:rsidR="004F2DD3" w:rsidRPr="008048D3">
              <w:rPr>
                <w:rFonts w:ascii="Verdana" w:hAnsi="Verdana" w:cs="Arial"/>
                <w:sz w:val="16"/>
                <w:szCs w:val="16"/>
                <w:lang w:val="lt-LT"/>
              </w:rPr>
              <w:t>ų</w:t>
            </w:r>
            <w:r w:rsidR="00B761CC" w:rsidRPr="008048D3">
              <w:rPr>
                <w:rFonts w:ascii="Verdana" w:hAnsi="Verdana" w:cs="Arial"/>
                <w:sz w:val="16"/>
                <w:szCs w:val="16"/>
                <w:lang w:val="lt-LT"/>
              </w:rPr>
              <w:t xml:space="preserve"> ir vidinių pinigų srautų, kaip finansavimo šaltinių, derinį įgyvendinant kapitalo išlaidų programą, kurios bendra suma siekia 30 000 tūkst. EUR.</w:t>
            </w:r>
          </w:p>
          <w:p w14:paraId="0E8AF859" w14:textId="04661453" w:rsidR="004F2DD3" w:rsidRPr="008048D3" w:rsidRDefault="004F2DD3" w:rsidP="006E420E">
            <w:pPr>
              <w:jc w:val="both"/>
              <w:rPr>
                <w:rFonts w:ascii="Verdana" w:hAnsi="Verdana" w:cs="Arial"/>
                <w:sz w:val="16"/>
                <w:szCs w:val="16"/>
                <w:lang w:val="lt-LT"/>
              </w:rPr>
            </w:pPr>
          </w:p>
          <w:p w14:paraId="6BE97714" w14:textId="712A3E8C" w:rsidR="004F2DD3" w:rsidRPr="008048D3" w:rsidRDefault="004F2DD3" w:rsidP="004F2DD3">
            <w:pPr>
              <w:jc w:val="both"/>
              <w:rPr>
                <w:rFonts w:ascii="Verdana" w:hAnsi="Verdana" w:cs="Arial"/>
                <w:sz w:val="16"/>
                <w:szCs w:val="16"/>
                <w:lang w:val="lt-LT"/>
              </w:rPr>
            </w:pPr>
            <w:r w:rsidRPr="008048D3">
              <w:rPr>
                <w:rFonts w:ascii="Verdana" w:hAnsi="Verdana" w:cs="Arial"/>
                <w:sz w:val="16"/>
                <w:szCs w:val="16"/>
                <w:lang w:val="lt-LT"/>
              </w:rPr>
              <w:t>Šie projektai yra parengti įgyvendinimo etapui, jie išvardinti prioriteto tvarka. Daugumos išvardintų projektų dydis gali būti keičiamas, jie gali būti įgyvendinami atskirais etapais, todėl įgyvendinimo greitis ir apimtis priklausys nuo Siūlymo metu surinktų lėšų sumos, iš bankų pritraukto papildomo finansavimo, taip pat nuo tokių veiksnių kaip, be kita ko, Vadovybės nuožiūra priimti sprendimai, atsižvelgiant į ūkinės veiklos aplinką, paklausos / pasiūlos rinkoje pokyčius ir kt.</w:t>
            </w:r>
          </w:p>
          <w:tbl>
            <w:tblPr>
              <w:tblStyle w:val="TableGrid"/>
              <w:tblW w:w="0" w:type="auto"/>
              <w:tblLayout w:type="fixed"/>
              <w:tblLook w:val="04A0" w:firstRow="1" w:lastRow="0" w:firstColumn="1" w:lastColumn="0" w:noHBand="0" w:noVBand="1"/>
            </w:tblPr>
            <w:tblGrid>
              <w:gridCol w:w="6055"/>
              <w:gridCol w:w="1065"/>
            </w:tblGrid>
            <w:tr w:rsidR="006E420E" w:rsidRPr="008048D3" w14:paraId="4824320B" w14:textId="77777777" w:rsidTr="004808C3">
              <w:trPr>
                <w:trHeight w:val="209"/>
              </w:trPr>
              <w:tc>
                <w:tcPr>
                  <w:tcW w:w="6055" w:type="dxa"/>
                </w:tcPr>
                <w:p w14:paraId="2945F5B7" w14:textId="15239720" w:rsidR="006E420E" w:rsidRPr="008048D3" w:rsidRDefault="006E420E" w:rsidP="006E420E">
                  <w:pPr>
                    <w:jc w:val="both"/>
                    <w:rPr>
                      <w:rFonts w:ascii="Verdana" w:hAnsi="Verdana" w:cs="Arial"/>
                      <w:b/>
                      <w:sz w:val="16"/>
                      <w:szCs w:val="16"/>
                      <w:lang w:val="lt-LT"/>
                    </w:rPr>
                  </w:pPr>
                </w:p>
              </w:tc>
              <w:tc>
                <w:tcPr>
                  <w:tcW w:w="1065" w:type="dxa"/>
                </w:tcPr>
                <w:p w14:paraId="7BF02E11" w14:textId="02248583" w:rsidR="006E420E" w:rsidRPr="008048D3" w:rsidRDefault="00774C8A" w:rsidP="006E420E">
                  <w:pPr>
                    <w:jc w:val="both"/>
                    <w:rPr>
                      <w:rFonts w:ascii="Verdana" w:hAnsi="Verdana" w:cs="Arial"/>
                      <w:b/>
                      <w:sz w:val="16"/>
                      <w:szCs w:val="16"/>
                      <w:lang w:val="lt-LT"/>
                    </w:rPr>
                  </w:pPr>
                  <w:r w:rsidRPr="008048D3">
                    <w:rPr>
                      <w:rFonts w:ascii="Verdana" w:hAnsi="Verdana" w:cs="Arial"/>
                      <w:b/>
                      <w:sz w:val="16"/>
                      <w:szCs w:val="16"/>
                      <w:lang w:val="lt-LT"/>
                    </w:rPr>
                    <w:t>tūkst</w:t>
                  </w:r>
                  <w:r w:rsidR="004808C3" w:rsidRPr="008048D3">
                    <w:rPr>
                      <w:rFonts w:ascii="Verdana" w:hAnsi="Verdana" w:cs="Arial"/>
                      <w:b/>
                      <w:sz w:val="16"/>
                      <w:szCs w:val="16"/>
                      <w:lang w:val="lt-LT"/>
                    </w:rPr>
                    <w:t xml:space="preserve">. </w:t>
                  </w:r>
                  <w:r w:rsidR="006E420E" w:rsidRPr="008048D3">
                    <w:rPr>
                      <w:rFonts w:ascii="Verdana" w:hAnsi="Verdana" w:cs="Arial"/>
                      <w:b/>
                      <w:sz w:val="16"/>
                      <w:szCs w:val="16"/>
                      <w:lang w:val="lt-LT"/>
                    </w:rPr>
                    <w:t>EUR</w:t>
                  </w:r>
                </w:p>
              </w:tc>
            </w:tr>
            <w:tr w:rsidR="006E420E" w:rsidRPr="008048D3" w14:paraId="73FB6D2E" w14:textId="77777777" w:rsidTr="004808C3">
              <w:trPr>
                <w:trHeight w:val="198"/>
              </w:trPr>
              <w:tc>
                <w:tcPr>
                  <w:tcW w:w="6055" w:type="dxa"/>
                </w:tcPr>
                <w:p w14:paraId="2FA0B12E" w14:textId="6E53E745" w:rsidR="006E420E" w:rsidRPr="008048D3" w:rsidRDefault="004808C3" w:rsidP="006E420E">
                  <w:pPr>
                    <w:jc w:val="both"/>
                    <w:rPr>
                      <w:rFonts w:ascii="Verdana" w:hAnsi="Verdana" w:cs="Arial"/>
                      <w:sz w:val="16"/>
                      <w:szCs w:val="16"/>
                      <w:lang w:val="lt-LT"/>
                    </w:rPr>
                  </w:pPr>
                  <w:r w:rsidRPr="008048D3">
                    <w:rPr>
                      <w:rFonts w:ascii="Verdana" w:hAnsi="Verdana" w:cs="Arial"/>
                      <w:sz w:val="16"/>
                      <w:szCs w:val="16"/>
                      <w:lang w:val="lt-LT"/>
                    </w:rPr>
                    <w:t xml:space="preserve">Neseniai įsigytų žemės ūkio bendrovių tolesnis vystymas </w:t>
                  </w:r>
                </w:p>
              </w:tc>
              <w:tc>
                <w:tcPr>
                  <w:tcW w:w="1065" w:type="dxa"/>
                </w:tcPr>
                <w:p w14:paraId="42B9FBBE" w14:textId="1BB9A400" w:rsidR="006E420E" w:rsidRPr="008048D3" w:rsidRDefault="006E420E" w:rsidP="004808C3">
                  <w:pPr>
                    <w:tabs>
                      <w:tab w:val="decimal" w:pos="200"/>
                    </w:tabs>
                    <w:jc w:val="center"/>
                    <w:rPr>
                      <w:rFonts w:ascii="Verdana" w:hAnsi="Verdana" w:cs="Arial"/>
                      <w:sz w:val="16"/>
                      <w:szCs w:val="16"/>
                      <w:lang w:val="lt-LT"/>
                    </w:rPr>
                  </w:pPr>
                  <w:r w:rsidRPr="008048D3">
                    <w:rPr>
                      <w:rFonts w:ascii="Verdana" w:hAnsi="Verdana" w:cs="Arial"/>
                      <w:sz w:val="16"/>
                      <w:szCs w:val="16"/>
                      <w:lang w:val="lt-LT"/>
                    </w:rPr>
                    <w:t>4</w:t>
                  </w:r>
                  <w:r w:rsidR="00774C8A" w:rsidRPr="008048D3">
                    <w:rPr>
                      <w:rFonts w:ascii="Verdana" w:hAnsi="Verdana" w:cs="Arial"/>
                      <w:sz w:val="16"/>
                      <w:szCs w:val="16"/>
                      <w:lang w:val="lt-LT"/>
                    </w:rPr>
                    <w:t xml:space="preserve"> 000</w:t>
                  </w:r>
                </w:p>
              </w:tc>
            </w:tr>
            <w:tr w:rsidR="006E420E" w:rsidRPr="008048D3" w14:paraId="6E71B4B1" w14:textId="77777777" w:rsidTr="004808C3">
              <w:trPr>
                <w:trHeight w:val="201"/>
              </w:trPr>
              <w:tc>
                <w:tcPr>
                  <w:tcW w:w="6055" w:type="dxa"/>
                </w:tcPr>
                <w:p w14:paraId="0F9870A7" w14:textId="4A207B89" w:rsidR="006E420E" w:rsidRPr="008048D3" w:rsidRDefault="004808C3" w:rsidP="006E420E">
                  <w:pPr>
                    <w:jc w:val="both"/>
                    <w:rPr>
                      <w:rFonts w:ascii="Verdana" w:hAnsi="Verdana" w:cs="Arial"/>
                      <w:sz w:val="16"/>
                      <w:szCs w:val="16"/>
                      <w:lang w:val="lt-LT"/>
                    </w:rPr>
                  </w:pPr>
                  <w:r w:rsidRPr="008048D3">
                    <w:rPr>
                      <w:rFonts w:ascii="Verdana" w:hAnsi="Verdana" w:cs="Arial"/>
                      <w:sz w:val="16"/>
                      <w:szCs w:val="16"/>
                      <w:lang w:val="lt-LT"/>
                    </w:rPr>
                    <w:t xml:space="preserve">Kombinuotųjų pašarų gamykla </w:t>
                  </w:r>
                </w:p>
              </w:tc>
              <w:tc>
                <w:tcPr>
                  <w:tcW w:w="1065" w:type="dxa"/>
                </w:tcPr>
                <w:p w14:paraId="662682B8" w14:textId="68552661" w:rsidR="006E420E" w:rsidRPr="008048D3" w:rsidRDefault="006E420E" w:rsidP="004808C3">
                  <w:pPr>
                    <w:tabs>
                      <w:tab w:val="decimal" w:pos="200"/>
                    </w:tabs>
                    <w:jc w:val="center"/>
                    <w:rPr>
                      <w:rFonts w:ascii="Verdana" w:hAnsi="Verdana" w:cs="Arial"/>
                      <w:sz w:val="16"/>
                      <w:szCs w:val="16"/>
                      <w:lang w:val="lt-LT"/>
                    </w:rPr>
                  </w:pPr>
                  <w:r w:rsidRPr="008048D3">
                    <w:rPr>
                      <w:rFonts w:ascii="Verdana" w:hAnsi="Verdana" w:cs="Arial"/>
                      <w:sz w:val="16"/>
                      <w:szCs w:val="16"/>
                      <w:lang w:val="lt-LT"/>
                    </w:rPr>
                    <w:t>7</w:t>
                  </w:r>
                  <w:r w:rsidR="00774C8A" w:rsidRPr="008048D3">
                    <w:rPr>
                      <w:rFonts w:ascii="Verdana" w:hAnsi="Verdana" w:cs="Arial"/>
                      <w:sz w:val="16"/>
                      <w:szCs w:val="16"/>
                      <w:lang w:val="lt-LT"/>
                    </w:rPr>
                    <w:t xml:space="preserve"> 000</w:t>
                  </w:r>
                </w:p>
              </w:tc>
            </w:tr>
            <w:tr w:rsidR="006E420E" w:rsidRPr="008048D3" w14:paraId="479CAACE" w14:textId="77777777" w:rsidTr="004808C3">
              <w:trPr>
                <w:trHeight w:val="209"/>
              </w:trPr>
              <w:tc>
                <w:tcPr>
                  <w:tcW w:w="6055" w:type="dxa"/>
                </w:tcPr>
                <w:p w14:paraId="1B2DE111" w14:textId="53E921B5" w:rsidR="006E420E" w:rsidRPr="008048D3" w:rsidRDefault="004808C3" w:rsidP="006E420E">
                  <w:pPr>
                    <w:jc w:val="both"/>
                    <w:rPr>
                      <w:rFonts w:ascii="Verdana" w:hAnsi="Verdana" w:cs="Arial"/>
                      <w:sz w:val="16"/>
                      <w:szCs w:val="16"/>
                      <w:lang w:val="lt-LT"/>
                    </w:rPr>
                  </w:pPr>
                  <w:r w:rsidRPr="008048D3">
                    <w:rPr>
                      <w:rFonts w:ascii="Verdana" w:hAnsi="Verdana" w:cs="Arial"/>
                      <w:sz w:val="16"/>
                      <w:szCs w:val="16"/>
                      <w:lang w:val="lt-LT"/>
                    </w:rPr>
                    <w:t xml:space="preserve">Paukštininkystės ūkių plėtra </w:t>
                  </w:r>
                </w:p>
              </w:tc>
              <w:tc>
                <w:tcPr>
                  <w:tcW w:w="1065" w:type="dxa"/>
                </w:tcPr>
                <w:p w14:paraId="4A1FF8E8" w14:textId="25AE5712" w:rsidR="006E420E" w:rsidRPr="008048D3" w:rsidRDefault="006E420E" w:rsidP="004808C3">
                  <w:pPr>
                    <w:tabs>
                      <w:tab w:val="decimal" w:pos="200"/>
                    </w:tabs>
                    <w:jc w:val="center"/>
                    <w:rPr>
                      <w:rFonts w:ascii="Verdana" w:hAnsi="Verdana" w:cs="Arial"/>
                      <w:sz w:val="16"/>
                      <w:szCs w:val="16"/>
                      <w:lang w:val="lt-LT"/>
                    </w:rPr>
                  </w:pPr>
                  <w:r w:rsidRPr="008048D3">
                    <w:rPr>
                      <w:rFonts w:ascii="Verdana" w:hAnsi="Verdana" w:cs="Arial"/>
                      <w:sz w:val="16"/>
                      <w:szCs w:val="16"/>
                      <w:lang w:val="lt-LT"/>
                    </w:rPr>
                    <w:t>6</w:t>
                  </w:r>
                  <w:r w:rsidR="00774C8A" w:rsidRPr="008048D3">
                    <w:rPr>
                      <w:rFonts w:ascii="Verdana" w:hAnsi="Verdana" w:cs="Arial"/>
                      <w:sz w:val="16"/>
                      <w:szCs w:val="16"/>
                      <w:lang w:val="lt-LT"/>
                    </w:rPr>
                    <w:t xml:space="preserve"> 000</w:t>
                  </w:r>
                </w:p>
              </w:tc>
            </w:tr>
            <w:tr w:rsidR="006E420E" w:rsidRPr="008048D3" w14:paraId="480EB396" w14:textId="77777777" w:rsidTr="004808C3">
              <w:trPr>
                <w:trHeight w:val="283"/>
              </w:trPr>
              <w:tc>
                <w:tcPr>
                  <w:tcW w:w="6055" w:type="dxa"/>
                </w:tcPr>
                <w:p w14:paraId="60518876" w14:textId="7CBC115E" w:rsidR="006E420E" w:rsidRPr="008048D3" w:rsidRDefault="006E420E" w:rsidP="006E420E">
                  <w:pPr>
                    <w:jc w:val="both"/>
                    <w:rPr>
                      <w:rFonts w:ascii="Verdana" w:hAnsi="Verdana" w:cs="Arial"/>
                      <w:sz w:val="16"/>
                      <w:szCs w:val="16"/>
                      <w:lang w:val="lt-LT"/>
                    </w:rPr>
                  </w:pPr>
                  <w:r w:rsidRPr="008048D3">
                    <w:rPr>
                      <w:rFonts w:ascii="Verdana" w:hAnsi="Verdana" w:cs="Arial"/>
                      <w:sz w:val="16"/>
                      <w:szCs w:val="16"/>
                      <w:lang w:val="lt-LT"/>
                    </w:rPr>
                    <w:t>Bio</w:t>
                  </w:r>
                  <w:r w:rsidR="00CC4E4C" w:rsidRPr="008048D3">
                    <w:rPr>
                      <w:rFonts w:ascii="Verdana" w:hAnsi="Verdana" w:cs="Arial"/>
                      <w:sz w:val="16"/>
                      <w:szCs w:val="16"/>
                      <w:lang w:val="lt-LT"/>
                    </w:rPr>
                    <w:t>dujų transformavimas ir valymas</w:t>
                  </w:r>
                  <w:r w:rsidRPr="008048D3">
                    <w:rPr>
                      <w:rFonts w:ascii="Verdana" w:hAnsi="Verdana" w:cs="Arial"/>
                      <w:sz w:val="16"/>
                      <w:szCs w:val="16"/>
                      <w:lang w:val="lt-LT"/>
                    </w:rPr>
                    <w:t xml:space="preserve">, </w:t>
                  </w:r>
                  <w:proofErr w:type="spellStart"/>
                  <w:r w:rsidR="00CC4E4C" w:rsidRPr="008048D3">
                    <w:rPr>
                      <w:rFonts w:ascii="Verdana" w:hAnsi="Verdana" w:cs="Arial"/>
                      <w:sz w:val="16"/>
                      <w:szCs w:val="16"/>
                      <w:lang w:val="lt-LT"/>
                    </w:rPr>
                    <w:t>biometano</w:t>
                  </w:r>
                  <w:proofErr w:type="spellEnd"/>
                  <w:r w:rsidR="00CC4E4C" w:rsidRPr="008048D3">
                    <w:rPr>
                      <w:rFonts w:ascii="Verdana" w:hAnsi="Verdana" w:cs="Arial"/>
                      <w:sz w:val="16"/>
                      <w:szCs w:val="16"/>
                      <w:lang w:val="lt-LT"/>
                    </w:rPr>
                    <w:t xml:space="preserve"> kaip antros kartos biokuro </w:t>
                  </w:r>
                  <w:r w:rsidR="00C226C3" w:rsidRPr="008048D3">
                    <w:rPr>
                      <w:rFonts w:ascii="Verdana" w:hAnsi="Verdana" w:cs="Arial"/>
                      <w:sz w:val="16"/>
                      <w:szCs w:val="16"/>
                      <w:lang w:val="lt-LT"/>
                    </w:rPr>
                    <w:t xml:space="preserve">įvedimas </w:t>
                  </w:r>
                </w:p>
              </w:tc>
              <w:tc>
                <w:tcPr>
                  <w:tcW w:w="1065" w:type="dxa"/>
                </w:tcPr>
                <w:p w14:paraId="32ECF8BA" w14:textId="2C4F07D6" w:rsidR="006E420E" w:rsidRPr="008048D3" w:rsidRDefault="006E420E" w:rsidP="004808C3">
                  <w:pPr>
                    <w:tabs>
                      <w:tab w:val="decimal" w:pos="200"/>
                    </w:tabs>
                    <w:jc w:val="center"/>
                    <w:rPr>
                      <w:rFonts w:ascii="Verdana" w:hAnsi="Verdana" w:cs="Arial"/>
                      <w:sz w:val="16"/>
                      <w:szCs w:val="16"/>
                      <w:lang w:val="lt-LT"/>
                    </w:rPr>
                  </w:pPr>
                  <w:r w:rsidRPr="008048D3">
                    <w:rPr>
                      <w:rFonts w:ascii="Verdana" w:hAnsi="Verdana" w:cs="Arial"/>
                      <w:sz w:val="16"/>
                      <w:szCs w:val="16"/>
                      <w:lang w:val="lt-LT"/>
                    </w:rPr>
                    <w:t>4</w:t>
                  </w:r>
                  <w:r w:rsidR="00774C8A" w:rsidRPr="008048D3">
                    <w:rPr>
                      <w:rFonts w:ascii="Verdana" w:hAnsi="Verdana" w:cs="Arial"/>
                      <w:sz w:val="16"/>
                      <w:szCs w:val="16"/>
                      <w:lang w:val="lt-LT"/>
                    </w:rPr>
                    <w:t xml:space="preserve"> 000</w:t>
                  </w:r>
                </w:p>
              </w:tc>
            </w:tr>
            <w:tr w:rsidR="006E420E" w:rsidRPr="008048D3" w14:paraId="36F7AA07" w14:textId="77777777" w:rsidTr="004808C3">
              <w:trPr>
                <w:trHeight w:val="209"/>
              </w:trPr>
              <w:tc>
                <w:tcPr>
                  <w:tcW w:w="6055" w:type="dxa"/>
                </w:tcPr>
                <w:p w14:paraId="770C6E49" w14:textId="52B383D8" w:rsidR="006E420E" w:rsidRPr="008048D3" w:rsidRDefault="00CC4E4C" w:rsidP="006E420E">
                  <w:pPr>
                    <w:jc w:val="both"/>
                    <w:rPr>
                      <w:rFonts w:ascii="Verdana" w:hAnsi="Verdana" w:cs="Arial"/>
                      <w:sz w:val="16"/>
                      <w:szCs w:val="16"/>
                      <w:lang w:val="lt-LT"/>
                    </w:rPr>
                  </w:pPr>
                  <w:r w:rsidRPr="008048D3">
                    <w:rPr>
                      <w:rFonts w:ascii="Verdana" w:hAnsi="Verdana" w:cs="Arial"/>
                      <w:sz w:val="16"/>
                      <w:szCs w:val="16"/>
                      <w:lang w:val="lt-LT"/>
                    </w:rPr>
                    <w:t>Naujos karto</w:t>
                  </w:r>
                  <w:r w:rsidR="004A2693">
                    <w:rPr>
                      <w:rFonts w:ascii="Verdana" w:hAnsi="Verdana" w:cs="Arial"/>
                      <w:sz w:val="16"/>
                      <w:szCs w:val="16"/>
                      <w:lang w:val="lt-LT"/>
                    </w:rPr>
                    <w:t>s</w:t>
                  </w:r>
                  <w:r w:rsidRPr="008048D3">
                    <w:rPr>
                      <w:rFonts w:ascii="Verdana" w:hAnsi="Verdana" w:cs="Arial"/>
                      <w:sz w:val="16"/>
                      <w:szCs w:val="16"/>
                      <w:lang w:val="lt-LT"/>
                    </w:rPr>
                    <w:t xml:space="preserve"> pienininkystės ūkių statyba </w:t>
                  </w:r>
                </w:p>
              </w:tc>
              <w:tc>
                <w:tcPr>
                  <w:tcW w:w="1065" w:type="dxa"/>
                </w:tcPr>
                <w:p w14:paraId="32EFDCD5" w14:textId="6EEC5C5B" w:rsidR="006E420E" w:rsidRPr="008048D3" w:rsidRDefault="006E420E" w:rsidP="004808C3">
                  <w:pPr>
                    <w:tabs>
                      <w:tab w:val="decimal" w:pos="200"/>
                    </w:tabs>
                    <w:jc w:val="center"/>
                    <w:rPr>
                      <w:rFonts w:ascii="Verdana" w:hAnsi="Verdana" w:cs="Arial"/>
                      <w:sz w:val="16"/>
                      <w:szCs w:val="16"/>
                      <w:lang w:val="lt-LT"/>
                    </w:rPr>
                  </w:pPr>
                  <w:r w:rsidRPr="008048D3">
                    <w:rPr>
                      <w:rFonts w:ascii="Verdana" w:hAnsi="Verdana" w:cs="Arial"/>
                      <w:sz w:val="16"/>
                      <w:szCs w:val="16"/>
                      <w:lang w:val="lt-LT"/>
                    </w:rPr>
                    <w:t>6</w:t>
                  </w:r>
                  <w:r w:rsidR="00774C8A" w:rsidRPr="008048D3">
                    <w:rPr>
                      <w:rFonts w:ascii="Verdana" w:hAnsi="Verdana" w:cs="Arial"/>
                      <w:sz w:val="16"/>
                      <w:szCs w:val="16"/>
                      <w:lang w:val="lt-LT"/>
                    </w:rPr>
                    <w:t xml:space="preserve"> 000</w:t>
                  </w:r>
                </w:p>
              </w:tc>
            </w:tr>
            <w:tr w:rsidR="006E420E" w:rsidRPr="008048D3" w14:paraId="60015E3A" w14:textId="77777777" w:rsidTr="004808C3">
              <w:trPr>
                <w:trHeight w:val="209"/>
              </w:trPr>
              <w:tc>
                <w:tcPr>
                  <w:tcW w:w="6055" w:type="dxa"/>
                </w:tcPr>
                <w:p w14:paraId="56428F6E" w14:textId="25DCB141" w:rsidR="006E420E" w:rsidRPr="008048D3" w:rsidRDefault="00CC4E4C" w:rsidP="006E420E">
                  <w:pPr>
                    <w:jc w:val="both"/>
                    <w:rPr>
                      <w:rFonts w:ascii="Verdana" w:hAnsi="Verdana" w:cs="Arial"/>
                      <w:sz w:val="16"/>
                      <w:szCs w:val="16"/>
                      <w:lang w:val="lt-LT"/>
                    </w:rPr>
                  </w:pPr>
                  <w:r w:rsidRPr="008048D3">
                    <w:rPr>
                      <w:rFonts w:ascii="Verdana" w:hAnsi="Verdana" w:cs="Arial"/>
                      <w:sz w:val="16"/>
                      <w:szCs w:val="16"/>
                      <w:lang w:val="lt-LT"/>
                    </w:rPr>
                    <w:t xml:space="preserve">Kita tyrimų ir plėtros veikla </w:t>
                  </w:r>
                </w:p>
              </w:tc>
              <w:tc>
                <w:tcPr>
                  <w:tcW w:w="1065" w:type="dxa"/>
                </w:tcPr>
                <w:p w14:paraId="52855457" w14:textId="7C9FF110" w:rsidR="006E420E" w:rsidRPr="008048D3" w:rsidRDefault="006E420E" w:rsidP="004808C3">
                  <w:pPr>
                    <w:tabs>
                      <w:tab w:val="decimal" w:pos="200"/>
                    </w:tabs>
                    <w:jc w:val="center"/>
                    <w:rPr>
                      <w:rFonts w:ascii="Verdana" w:hAnsi="Verdana" w:cs="Arial"/>
                      <w:b/>
                      <w:sz w:val="16"/>
                      <w:szCs w:val="16"/>
                      <w:lang w:val="lt-LT"/>
                    </w:rPr>
                  </w:pPr>
                  <w:r w:rsidRPr="008048D3">
                    <w:rPr>
                      <w:rFonts w:ascii="Verdana" w:hAnsi="Verdana" w:cs="Arial"/>
                      <w:sz w:val="16"/>
                      <w:szCs w:val="16"/>
                      <w:lang w:val="lt-LT"/>
                    </w:rPr>
                    <w:t>3</w:t>
                  </w:r>
                  <w:r w:rsidR="00774C8A" w:rsidRPr="008048D3">
                    <w:rPr>
                      <w:rFonts w:ascii="Verdana" w:hAnsi="Verdana" w:cs="Arial"/>
                      <w:sz w:val="16"/>
                      <w:szCs w:val="16"/>
                      <w:lang w:val="lt-LT"/>
                    </w:rPr>
                    <w:t xml:space="preserve"> 000</w:t>
                  </w:r>
                </w:p>
              </w:tc>
            </w:tr>
            <w:tr w:rsidR="006E420E" w:rsidRPr="008048D3" w14:paraId="5450C7E3" w14:textId="77777777" w:rsidTr="004808C3">
              <w:trPr>
                <w:trHeight w:val="209"/>
              </w:trPr>
              <w:tc>
                <w:tcPr>
                  <w:tcW w:w="6055" w:type="dxa"/>
                </w:tcPr>
                <w:p w14:paraId="2F88C1FF" w14:textId="33F65D6C" w:rsidR="006E420E" w:rsidRPr="008048D3" w:rsidRDefault="00CC4E4C" w:rsidP="006E420E">
                  <w:pPr>
                    <w:jc w:val="both"/>
                    <w:rPr>
                      <w:rFonts w:ascii="Verdana" w:hAnsi="Verdana" w:cs="Arial"/>
                      <w:b/>
                      <w:sz w:val="16"/>
                      <w:szCs w:val="16"/>
                      <w:lang w:val="lt-LT"/>
                    </w:rPr>
                  </w:pPr>
                  <w:r w:rsidRPr="008048D3">
                    <w:rPr>
                      <w:rFonts w:ascii="Verdana" w:hAnsi="Verdana" w:cs="Arial"/>
                      <w:b/>
                      <w:sz w:val="16"/>
                      <w:szCs w:val="16"/>
                      <w:lang w:val="lt-LT"/>
                    </w:rPr>
                    <w:t xml:space="preserve">Iš viso </w:t>
                  </w:r>
                </w:p>
              </w:tc>
              <w:tc>
                <w:tcPr>
                  <w:tcW w:w="1065" w:type="dxa"/>
                </w:tcPr>
                <w:p w14:paraId="2C870ED5" w14:textId="161819BC" w:rsidR="006E420E" w:rsidRPr="008048D3" w:rsidRDefault="006E420E" w:rsidP="004808C3">
                  <w:pPr>
                    <w:jc w:val="center"/>
                    <w:rPr>
                      <w:rFonts w:ascii="Verdana" w:hAnsi="Verdana" w:cs="Arial"/>
                      <w:b/>
                      <w:sz w:val="16"/>
                      <w:szCs w:val="16"/>
                      <w:lang w:val="lt-LT"/>
                    </w:rPr>
                  </w:pPr>
                  <w:r w:rsidRPr="008048D3">
                    <w:rPr>
                      <w:rFonts w:ascii="Verdana" w:hAnsi="Verdana" w:cs="Arial"/>
                      <w:b/>
                      <w:sz w:val="16"/>
                      <w:szCs w:val="16"/>
                      <w:lang w:val="lt-LT"/>
                    </w:rPr>
                    <w:t>30</w:t>
                  </w:r>
                  <w:r w:rsidR="00774C8A" w:rsidRPr="008048D3">
                    <w:rPr>
                      <w:rFonts w:ascii="Verdana" w:hAnsi="Verdana" w:cs="Arial"/>
                      <w:b/>
                      <w:sz w:val="16"/>
                      <w:szCs w:val="16"/>
                      <w:lang w:val="lt-LT"/>
                    </w:rPr>
                    <w:t xml:space="preserve"> 000</w:t>
                  </w:r>
                </w:p>
              </w:tc>
            </w:tr>
          </w:tbl>
          <w:p w14:paraId="1F7CDB90" w14:textId="0A6461EE" w:rsidR="008F65F5" w:rsidRPr="008048D3" w:rsidRDefault="008F65F5" w:rsidP="002A4A6C">
            <w:pPr>
              <w:jc w:val="both"/>
              <w:rPr>
                <w:rFonts w:ascii="Verdana" w:hAnsi="Verdana" w:cs="Arial"/>
                <w:sz w:val="16"/>
                <w:szCs w:val="16"/>
                <w:lang w:val="lt-LT"/>
              </w:rPr>
            </w:pPr>
          </w:p>
        </w:tc>
      </w:tr>
      <w:tr w:rsidR="00774C8A" w:rsidRPr="00CD3453" w14:paraId="6D7C9A59" w14:textId="77777777" w:rsidTr="00CA53A5">
        <w:trPr>
          <w:trHeight w:val="184"/>
        </w:trPr>
        <w:tc>
          <w:tcPr>
            <w:tcW w:w="303" w:type="pct"/>
            <w:gridSpan w:val="2"/>
            <w:tcBorders>
              <w:top w:val="nil"/>
            </w:tcBorders>
          </w:tcPr>
          <w:p w14:paraId="70974856" w14:textId="77777777" w:rsidR="00774C8A" w:rsidRPr="008048D3" w:rsidRDefault="00774C8A" w:rsidP="00D02FEC">
            <w:pPr>
              <w:rPr>
                <w:rFonts w:ascii="Verdana" w:hAnsi="Verdana" w:cs="Arial"/>
                <w:sz w:val="16"/>
                <w:szCs w:val="16"/>
                <w:lang w:val="lt-LT"/>
              </w:rPr>
            </w:pPr>
          </w:p>
        </w:tc>
        <w:tc>
          <w:tcPr>
            <w:tcW w:w="606" w:type="pct"/>
            <w:tcBorders>
              <w:top w:val="nil"/>
            </w:tcBorders>
          </w:tcPr>
          <w:p w14:paraId="76BEFE67" w14:textId="77777777" w:rsidR="00774C8A" w:rsidRPr="008048D3" w:rsidRDefault="00774C8A" w:rsidP="00D02FEC">
            <w:pPr>
              <w:spacing w:after="40"/>
              <w:rPr>
                <w:rFonts w:ascii="Verdana" w:hAnsi="Verdana" w:cs="Arial"/>
                <w:sz w:val="16"/>
                <w:szCs w:val="16"/>
                <w:lang w:val="lt-LT"/>
              </w:rPr>
            </w:pPr>
          </w:p>
        </w:tc>
        <w:tc>
          <w:tcPr>
            <w:tcW w:w="4090" w:type="pct"/>
            <w:tcBorders>
              <w:top w:val="nil"/>
            </w:tcBorders>
          </w:tcPr>
          <w:p w14:paraId="1832BCAB" w14:textId="250D4A37" w:rsidR="003205F6" w:rsidRPr="008048D3" w:rsidRDefault="003205F6" w:rsidP="00D02FEC">
            <w:pPr>
              <w:pStyle w:val="KLGIPOBody"/>
              <w:spacing w:before="0" w:after="0" w:line="240" w:lineRule="auto"/>
              <w:rPr>
                <w:rFonts w:ascii="Verdana" w:eastAsia="Calibri" w:hAnsi="Verdana" w:cs="Times New Roman"/>
                <w:b/>
                <w:sz w:val="16"/>
                <w:szCs w:val="16"/>
                <w:lang w:val="lt-LT"/>
              </w:rPr>
            </w:pPr>
            <w:r w:rsidRPr="008048D3">
              <w:rPr>
                <w:rFonts w:ascii="Verdana" w:hAnsi="Verdana" w:cs="Arial"/>
                <w:sz w:val="16"/>
                <w:szCs w:val="16"/>
                <w:lang w:val="lt-LT"/>
              </w:rPr>
              <w:t>Parduodantis akcininkas ketina panaudoti pardavus Parduodamas akcijas gautas grynąsias pajamas pirmiausia esamų skolų (kreditų, paskolų)</w:t>
            </w:r>
            <w:r w:rsidR="00E90E0D" w:rsidRPr="008048D3">
              <w:rPr>
                <w:rFonts w:ascii="Verdana" w:hAnsi="Verdana" w:cs="Arial"/>
                <w:sz w:val="16"/>
                <w:szCs w:val="16"/>
                <w:lang w:val="lt-LT"/>
              </w:rPr>
              <w:t>, kurios šio Prospekto patvirtinimo dieną sudaro 28,5 mln. EUR (</w:t>
            </w:r>
            <w:r w:rsidR="00270CD2" w:rsidRPr="008048D3">
              <w:rPr>
                <w:rFonts w:ascii="Verdana" w:hAnsi="Verdana" w:cs="Arial"/>
                <w:sz w:val="16"/>
                <w:szCs w:val="16"/>
                <w:lang w:val="lt-LT"/>
              </w:rPr>
              <w:t>net</w:t>
            </w:r>
            <w:r w:rsidR="00E90E0D" w:rsidRPr="008048D3">
              <w:rPr>
                <w:rFonts w:ascii="Verdana" w:hAnsi="Verdana" w:cs="Arial"/>
                <w:sz w:val="16"/>
                <w:szCs w:val="16"/>
                <w:lang w:val="lt-LT"/>
              </w:rPr>
              <w:t>),</w:t>
            </w:r>
            <w:r w:rsidRPr="008048D3">
              <w:rPr>
                <w:rFonts w:ascii="Verdana" w:hAnsi="Verdana" w:cs="Arial"/>
                <w:sz w:val="16"/>
                <w:szCs w:val="16"/>
                <w:lang w:val="lt-LT"/>
              </w:rPr>
              <w:t xml:space="preserve"> grąžinimui, o likusią jų dalį – savo vykdomiems projektams finansuoti (kai jie bus vykdomi). Nesusiaurinant to, kas pasakyta pirmiau, </w:t>
            </w:r>
            <w:r w:rsidR="00E51952" w:rsidRPr="008048D3">
              <w:rPr>
                <w:rFonts w:ascii="Verdana" w:hAnsi="Verdana" w:cs="Arial"/>
                <w:sz w:val="16"/>
                <w:szCs w:val="16"/>
                <w:lang w:val="lt-LT"/>
              </w:rPr>
              <w:t>įvykus Siūlymui</w:t>
            </w:r>
            <w:r w:rsidRPr="008048D3">
              <w:rPr>
                <w:rFonts w:ascii="Verdana" w:hAnsi="Verdana" w:cs="Arial"/>
                <w:sz w:val="16"/>
                <w:szCs w:val="16"/>
                <w:lang w:val="lt-LT"/>
              </w:rPr>
              <w:t xml:space="preserve">, </w:t>
            </w:r>
            <w:r w:rsidR="00E51952" w:rsidRPr="008048D3">
              <w:rPr>
                <w:rFonts w:ascii="Verdana" w:hAnsi="Verdana" w:cs="Arial"/>
                <w:sz w:val="16"/>
                <w:szCs w:val="16"/>
                <w:lang w:val="lt-LT"/>
              </w:rPr>
              <w:lastRenderedPageBreak/>
              <w:t xml:space="preserve">Parduodantis akcininkas panaudos bent </w:t>
            </w:r>
            <w:r w:rsidR="00E90E0D" w:rsidRPr="008048D3">
              <w:rPr>
                <w:rFonts w:ascii="Verdana" w:hAnsi="Verdana" w:cs="Arial"/>
                <w:sz w:val="16"/>
                <w:szCs w:val="16"/>
                <w:lang w:val="lt-LT"/>
              </w:rPr>
              <w:t xml:space="preserve">80% grynųjų pajamų, gautų pardavus Parduodamas akcijas, </w:t>
            </w:r>
            <w:r w:rsidR="00E51952" w:rsidRPr="008048D3">
              <w:rPr>
                <w:rFonts w:ascii="Verdana" w:hAnsi="Verdana" w:cs="Arial"/>
                <w:sz w:val="16"/>
                <w:szCs w:val="16"/>
                <w:lang w:val="lt-LT"/>
              </w:rPr>
              <w:t>kad anksčiau termino grąžintų savo turimą komercinio banko suteiktą paskolą, kai tik Parduodantis akcininkas gaus lėšas pardav</w:t>
            </w:r>
            <w:r w:rsidR="00591B38" w:rsidRPr="008048D3">
              <w:rPr>
                <w:rFonts w:ascii="Verdana" w:hAnsi="Verdana" w:cs="Arial"/>
                <w:sz w:val="16"/>
                <w:szCs w:val="16"/>
                <w:lang w:val="lt-LT"/>
              </w:rPr>
              <w:t>ę</w:t>
            </w:r>
            <w:r w:rsidR="00E51952" w:rsidRPr="008048D3">
              <w:rPr>
                <w:rFonts w:ascii="Verdana" w:hAnsi="Verdana" w:cs="Arial"/>
                <w:sz w:val="16"/>
                <w:szCs w:val="16"/>
                <w:lang w:val="lt-LT"/>
              </w:rPr>
              <w:t>s Parduodamas akcijas</w:t>
            </w:r>
            <w:r w:rsidRPr="008048D3">
              <w:rPr>
                <w:rFonts w:ascii="Verdana" w:hAnsi="Verdana" w:cs="Arial"/>
                <w:sz w:val="16"/>
                <w:szCs w:val="16"/>
                <w:lang w:val="lt-LT"/>
              </w:rPr>
              <w:t xml:space="preserve">. </w:t>
            </w:r>
            <w:r w:rsidR="00E51952" w:rsidRPr="008048D3">
              <w:rPr>
                <w:rFonts w:ascii="Verdana" w:hAnsi="Verdana" w:cs="Arial"/>
                <w:sz w:val="16"/>
                <w:szCs w:val="16"/>
                <w:lang w:val="lt-LT"/>
              </w:rPr>
              <w:t>Prospekto patvirtinimo dieną Parduodamos akcijos yra įkeistos paskolos davėjui, kuris finansuoja Parduodantį akcininką, kad būtų užtikrinti Parduodančio akcininko įsipareigojimai paskolos davėjui</w:t>
            </w:r>
            <w:r w:rsidRPr="008048D3">
              <w:rPr>
                <w:rFonts w:ascii="Verdana" w:hAnsi="Verdana" w:cs="Arial"/>
                <w:sz w:val="16"/>
                <w:szCs w:val="16"/>
                <w:lang w:val="lt-LT"/>
              </w:rPr>
              <w:t xml:space="preserve">. </w:t>
            </w:r>
            <w:r w:rsidR="00E51952" w:rsidRPr="008048D3">
              <w:rPr>
                <w:rFonts w:ascii="Verdana" w:hAnsi="Verdana" w:cs="Arial"/>
                <w:sz w:val="16"/>
                <w:szCs w:val="16"/>
                <w:lang w:val="lt-LT"/>
              </w:rPr>
              <w:t>Parduodamos akcijos</w:t>
            </w:r>
            <w:r w:rsidRPr="008048D3">
              <w:rPr>
                <w:rFonts w:ascii="Verdana" w:hAnsi="Verdana" w:cs="Arial"/>
                <w:sz w:val="16"/>
                <w:szCs w:val="16"/>
                <w:lang w:val="lt-LT"/>
              </w:rPr>
              <w:t xml:space="preserve">, </w:t>
            </w:r>
            <w:r w:rsidR="00E51952" w:rsidRPr="008048D3">
              <w:rPr>
                <w:rFonts w:ascii="Verdana" w:hAnsi="Verdana" w:cs="Arial"/>
                <w:sz w:val="16"/>
                <w:szCs w:val="16"/>
                <w:lang w:val="lt-LT"/>
              </w:rPr>
              <w:t>jei jos bus parduotos</w:t>
            </w:r>
            <w:r w:rsidRPr="008048D3">
              <w:rPr>
                <w:rFonts w:ascii="Verdana" w:hAnsi="Verdana" w:cs="Arial"/>
                <w:sz w:val="16"/>
                <w:szCs w:val="16"/>
                <w:lang w:val="lt-LT"/>
              </w:rPr>
              <w:t xml:space="preserve">, </w:t>
            </w:r>
            <w:r w:rsidR="00E51952" w:rsidRPr="008048D3">
              <w:rPr>
                <w:rFonts w:ascii="Verdana" w:hAnsi="Verdana" w:cs="Arial"/>
                <w:sz w:val="16"/>
                <w:szCs w:val="16"/>
                <w:lang w:val="lt-LT"/>
              </w:rPr>
              <w:t xml:space="preserve">būtų laisvos nuo bet kokių suvaržymų </w:t>
            </w:r>
            <w:r w:rsidRPr="008048D3">
              <w:rPr>
                <w:rFonts w:ascii="Verdana" w:hAnsi="Verdana" w:cs="Arial"/>
                <w:sz w:val="16"/>
                <w:szCs w:val="16"/>
                <w:lang w:val="lt-LT"/>
              </w:rPr>
              <w:t>(</w:t>
            </w:r>
            <w:r w:rsidR="00E51952" w:rsidRPr="008048D3">
              <w:rPr>
                <w:rFonts w:ascii="Verdana" w:hAnsi="Verdana" w:cs="Arial"/>
                <w:sz w:val="16"/>
                <w:szCs w:val="16"/>
                <w:lang w:val="lt-LT"/>
              </w:rPr>
              <w:t>būtų suteikta absoliuti nuosavybės teisė į jas</w:t>
            </w:r>
            <w:r w:rsidRPr="008048D3">
              <w:rPr>
                <w:rFonts w:ascii="Verdana" w:hAnsi="Verdana" w:cs="Arial"/>
                <w:sz w:val="16"/>
                <w:szCs w:val="16"/>
                <w:lang w:val="lt-LT"/>
              </w:rPr>
              <w:t>).</w:t>
            </w:r>
          </w:p>
        </w:tc>
      </w:tr>
      <w:tr w:rsidR="00D02FEC" w:rsidRPr="00CD3453" w14:paraId="45DA3266" w14:textId="77777777" w:rsidTr="00CA53A5">
        <w:trPr>
          <w:trHeight w:val="184"/>
        </w:trPr>
        <w:tc>
          <w:tcPr>
            <w:tcW w:w="303" w:type="pct"/>
            <w:gridSpan w:val="2"/>
          </w:tcPr>
          <w:p w14:paraId="5DF31A99" w14:textId="77777777" w:rsidR="00D02FEC" w:rsidRPr="008048D3" w:rsidRDefault="00D02FEC" w:rsidP="00D02FEC">
            <w:pPr>
              <w:rPr>
                <w:rFonts w:ascii="Verdana" w:hAnsi="Verdana" w:cs="Arial"/>
                <w:sz w:val="16"/>
                <w:szCs w:val="16"/>
                <w:lang w:val="lt-LT"/>
              </w:rPr>
            </w:pPr>
            <w:r w:rsidRPr="008048D3">
              <w:rPr>
                <w:rFonts w:ascii="Verdana" w:hAnsi="Verdana" w:cs="Arial"/>
                <w:sz w:val="16"/>
                <w:szCs w:val="16"/>
                <w:lang w:val="lt-LT"/>
              </w:rPr>
              <w:lastRenderedPageBreak/>
              <w:t>E.3</w:t>
            </w:r>
          </w:p>
        </w:tc>
        <w:tc>
          <w:tcPr>
            <w:tcW w:w="606" w:type="pct"/>
          </w:tcPr>
          <w:p w14:paraId="52504A0E" w14:textId="11960381" w:rsidR="00D02FEC" w:rsidRPr="008048D3" w:rsidRDefault="00647D75" w:rsidP="00D02FEC">
            <w:pPr>
              <w:spacing w:after="40"/>
              <w:rPr>
                <w:rFonts w:ascii="Verdana" w:hAnsi="Verdana" w:cs="Arial"/>
                <w:sz w:val="16"/>
                <w:szCs w:val="16"/>
                <w:lang w:val="lt-LT"/>
              </w:rPr>
            </w:pPr>
            <w:r w:rsidRPr="008048D3">
              <w:rPr>
                <w:rFonts w:ascii="Verdana" w:hAnsi="Verdana" w:cs="Arial"/>
                <w:sz w:val="16"/>
                <w:szCs w:val="16"/>
                <w:lang w:val="lt-LT"/>
              </w:rPr>
              <w:t xml:space="preserve">Siūlymo sąlygos </w:t>
            </w:r>
          </w:p>
        </w:tc>
        <w:tc>
          <w:tcPr>
            <w:tcW w:w="4090" w:type="pct"/>
          </w:tcPr>
          <w:p w14:paraId="3C206D40" w14:textId="7711B4CA" w:rsidR="00D02FEC" w:rsidRPr="008048D3" w:rsidRDefault="008B1DB7" w:rsidP="00D02FEC">
            <w:pPr>
              <w:pStyle w:val="KLGIPOBody"/>
              <w:spacing w:before="0" w:after="0" w:line="240" w:lineRule="auto"/>
              <w:rPr>
                <w:rFonts w:ascii="Verdana" w:eastAsia="Calibri" w:hAnsi="Verdana" w:cs="Times New Roman"/>
                <w:b/>
                <w:sz w:val="16"/>
                <w:szCs w:val="16"/>
                <w:lang w:val="lt-LT"/>
              </w:rPr>
            </w:pPr>
            <w:r w:rsidRPr="008048D3">
              <w:rPr>
                <w:rFonts w:ascii="Verdana" w:eastAsia="Calibri" w:hAnsi="Verdana" w:cs="Times New Roman"/>
                <w:b/>
                <w:sz w:val="16"/>
                <w:szCs w:val="16"/>
                <w:lang w:val="lt-LT"/>
              </w:rPr>
              <w:t xml:space="preserve">Bendroji </w:t>
            </w:r>
            <w:r w:rsidR="00D02FEC" w:rsidRPr="008048D3">
              <w:rPr>
                <w:rFonts w:ascii="Verdana" w:eastAsia="Calibri" w:hAnsi="Verdana" w:cs="Times New Roman"/>
                <w:b/>
                <w:sz w:val="16"/>
                <w:szCs w:val="16"/>
                <w:lang w:val="lt-LT"/>
              </w:rPr>
              <w:t>informa</w:t>
            </w:r>
            <w:r w:rsidRPr="008048D3">
              <w:rPr>
                <w:rFonts w:ascii="Verdana" w:eastAsia="Calibri" w:hAnsi="Verdana" w:cs="Times New Roman"/>
                <w:b/>
                <w:sz w:val="16"/>
                <w:szCs w:val="16"/>
                <w:lang w:val="lt-LT"/>
              </w:rPr>
              <w:t xml:space="preserve">cija </w:t>
            </w:r>
          </w:p>
          <w:p w14:paraId="6884F708" w14:textId="77777777" w:rsidR="00D02FEC" w:rsidRPr="008048D3" w:rsidRDefault="00D02FEC" w:rsidP="00D02FEC">
            <w:pPr>
              <w:pStyle w:val="KLGIPOBody"/>
              <w:spacing w:before="0" w:after="0" w:line="240" w:lineRule="auto"/>
              <w:rPr>
                <w:rFonts w:ascii="Verdana" w:eastAsia="Calibri" w:hAnsi="Verdana" w:cs="Times New Roman"/>
                <w:sz w:val="16"/>
                <w:szCs w:val="16"/>
                <w:lang w:val="lt-LT"/>
              </w:rPr>
            </w:pPr>
          </w:p>
          <w:p w14:paraId="3CB36CB8" w14:textId="5AA1921A" w:rsidR="000A0E05" w:rsidRPr="008048D3" w:rsidRDefault="008810E7" w:rsidP="000A0E05">
            <w:pPr>
              <w:jc w:val="both"/>
              <w:rPr>
                <w:rFonts w:ascii="Verdana" w:hAnsi="Verdana"/>
                <w:sz w:val="16"/>
                <w:szCs w:val="16"/>
                <w:lang w:val="lt-LT"/>
              </w:rPr>
            </w:pPr>
            <w:r w:rsidRPr="008048D3">
              <w:rPr>
                <w:rFonts w:ascii="Verdana" w:hAnsi="Verdana"/>
                <w:sz w:val="16"/>
                <w:szCs w:val="16"/>
                <w:lang w:val="lt-LT"/>
              </w:rPr>
              <w:t xml:space="preserve">Pagal </w:t>
            </w:r>
            <w:r w:rsidR="000A0E05" w:rsidRPr="008048D3">
              <w:rPr>
                <w:rFonts w:ascii="Verdana" w:hAnsi="Verdana"/>
                <w:sz w:val="16"/>
                <w:szCs w:val="16"/>
                <w:lang w:val="lt-LT"/>
              </w:rPr>
              <w:t>Prospe</w:t>
            </w:r>
            <w:r w:rsidRPr="008048D3">
              <w:rPr>
                <w:rFonts w:ascii="Verdana" w:hAnsi="Verdana"/>
                <w:sz w:val="16"/>
                <w:szCs w:val="16"/>
                <w:lang w:val="lt-LT"/>
              </w:rPr>
              <w:t xml:space="preserve">ktą Emitentas siūlo iki </w:t>
            </w:r>
            <w:r w:rsidR="00B268AF" w:rsidRPr="008048D3">
              <w:rPr>
                <w:rFonts w:ascii="Verdana" w:hAnsi="Verdana"/>
                <w:sz w:val="16"/>
                <w:szCs w:val="16"/>
                <w:lang w:val="lt-LT"/>
              </w:rPr>
              <w:t>4</w:t>
            </w:r>
            <w:r w:rsidR="000A0E05" w:rsidRPr="008048D3">
              <w:rPr>
                <w:rFonts w:ascii="Verdana" w:hAnsi="Verdana"/>
                <w:sz w:val="16"/>
                <w:szCs w:val="16"/>
                <w:lang w:val="lt-LT"/>
              </w:rPr>
              <w:t>0</w:t>
            </w:r>
            <w:r w:rsidRPr="008048D3">
              <w:rPr>
                <w:rFonts w:ascii="Verdana" w:hAnsi="Verdana"/>
                <w:sz w:val="16"/>
                <w:szCs w:val="16"/>
                <w:lang w:val="lt-LT"/>
              </w:rPr>
              <w:t> </w:t>
            </w:r>
            <w:r w:rsidR="000A0E05" w:rsidRPr="008048D3">
              <w:rPr>
                <w:rFonts w:ascii="Verdana" w:hAnsi="Verdana"/>
                <w:sz w:val="16"/>
                <w:szCs w:val="16"/>
                <w:lang w:val="lt-LT"/>
              </w:rPr>
              <w:t>000</w:t>
            </w:r>
            <w:r w:rsidRPr="008048D3">
              <w:rPr>
                <w:rFonts w:ascii="Verdana" w:hAnsi="Verdana"/>
                <w:sz w:val="16"/>
                <w:szCs w:val="16"/>
                <w:lang w:val="lt-LT"/>
              </w:rPr>
              <w:t xml:space="preserve"> </w:t>
            </w:r>
            <w:r w:rsidR="000A0E05" w:rsidRPr="008048D3">
              <w:rPr>
                <w:rFonts w:ascii="Verdana" w:hAnsi="Verdana"/>
                <w:sz w:val="16"/>
                <w:szCs w:val="16"/>
                <w:lang w:val="lt-LT"/>
              </w:rPr>
              <w:t>000 N</w:t>
            </w:r>
            <w:r w:rsidRPr="008048D3">
              <w:rPr>
                <w:rFonts w:ascii="Verdana" w:hAnsi="Verdana"/>
                <w:sz w:val="16"/>
                <w:szCs w:val="16"/>
                <w:lang w:val="lt-LT"/>
              </w:rPr>
              <w:t xml:space="preserve">aujų akcijų, o </w:t>
            </w:r>
            <w:r w:rsidR="00180364" w:rsidRPr="008048D3">
              <w:rPr>
                <w:rFonts w:ascii="Verdana" w:hAnsi="Verdana"/>
                <w:sz w:val="16"/>
                <w:szCs w:val="16"/>
                <w:lang w:val="lt-LT"/>
              </w:rPr>
              <w:t>Parduodantis akcininkas</w:t>
            </w:r>
            <w:r w:rsidR="000A0E05" w:rsidRPr="008048D3">
              <w:rPr>
                <w:rFonts w:ascii="Verdana" w:hAnsi="Verdana"/>
                <w:sz w:val="16"/>
                <w:szCs w:val="16"/>
                <w:lang w:val="lt-LT"/>
              </w:rPr>
              <w:t xml:space="preserve"> </w:t>
            </w:r>
            <w:r w:rsidRPr="008048D3">
              <w:rPr>
                <w:rFonts w:ascii="Verdana" w:hAnsi="Verdana"/>
                <w:sz w:val="16"/>
                <w:szCs w:val="16"/>
                <w:lang w:val="lt-LT"/>
              </w:rPr>
              <w:t xml:space="preserve">siūlo iki </w:t>
            </w:r>
            <w:r w:rsidR="000A0E05" w:rsidRPr="008048D3">
              <w:rPr>
                <w:rFonts w:ascii="Verdana" w:hAnsi="Verdana"/>
                <w:sz w:val="16"/>
                <w:szCs w:val="16"/>
                <w:lang w:val="lt-LT"/>
              </w:rPr>
              <w:t>20</w:t>
            </w:r>
            <w:r w:rsidRPr="008048D3">
              <w:rPr>
                <w:rFonts w:ascii="Verdana" w:hAnsi="Verdana"/>
                <w:sz w:val="16"/>
                <w:szCs w:val="16"/>
                <w:lang w:val="lt-LT"/>
              </w:rPr>
              <w:t> </w:t>
            </w:r>
            <w:r w:rsidR="000A0E05" w:rsidRPr="008048D3">
              <w:rPr>
                <w:rFonts w:ascii="Verdana" w:hAnsi="Verdana"/>
                <w:sz w:val="16"/>
                <w:szCs w:val="16"/>
                <w:lang w:val="lt-LT"/>
              </w:rPr>
              <w:t>000</w:t>
            </w:r>
            <w:r w:rsidRPr="008048D3">
              <w:rPr>
                <w:rFonts w:ascii="Verdana" w:hAnsi="Verdana"/>
                <w:sz w:val="16"/>
                <w:szCs w:val="16"/>
                <w:lang w:val="lt-LT"/>
              </w:rPr>
              <w:t xml:space="preserve"> </w:t>
            </w:r>
            <w:r w:rsidR="000A0E05" w:rsidRPr="008048D3">
              <w:rPr>
                <w:rFonts w:ascii="Verdana" w:hAnsi="Verdana"/>
                <w:sz w:val="16"/>
                <w:szCs w:val="16"/>
                <w:lang w:val="lt-LT"/>
              </w:rPr>
              <w:t xml:space="preserve">000 </w:t>
            </w:r>
            <w:r w:rsidRPr="008048D3">
              <w:rPr>
                <w:rFonts w:ascii="Verdana" w:hAnsi="Verdana"/>
                <w:sz w:val="16"/>
                <w:szCs w:val="16"/>
                <w:lang w:val="lt-LT"/>
              </w:rPr>
              <w:t>Parduodamų akcijų</w:t>
            </w:r>
            <w:r w:rsidR="000A0E05" w:rsidRPr="008048D3">
              <w:rPr>
                <w:rFonts w:ascii="Verdana" w:hAnsi="Verdana"/>
                <w:sz w:val="16"/>
                <w:szCs w:val="16"/>
                <w:lang w:val="lt-LT"/>
              </w:rPr>
              <w:t xml:space="preserve">. </w:t>
            </w:r>
            <w:r w:rsidRPr="008048D3">
              <w:rPr>
                <w:rFonts w:ascii="Verdana" w:hAnsi="Verdana"/>
                <w:sz w:val="16"/>
                <w:szCs w:val="16"/>
                <w:lang w:val="lt-LT"/>
              </w:rPr>
              <w:t xml:space="preserve">Iš viso Siūlymo metu siūloma iki </w:t>
            </w:r>
            <w:r w:rsidR="00B268AF" w:rsidRPr="008048D3">
              <w:rPr>
                <w:rFonts w:ascii="Verdana" w:hAnsi="Verdana"/>
                <w:sz w:val="16"/>
                <w:szCs w:val="16"/>
                <w:lang w:val="lt-LT"/>
              </w:rPr>
              <w:t>6</w:t>
            </w:r>
            <w:r w:rsidR="000A0E05" w:rsidRPr="008048D3">
              <w:rPr>
                <w:rFonts w:ascii="Verdana" w:hAnsi="Verdana"/>
                <w:sz w:val="16"/>
                <w:szCs w:val="16"/>
                <w:lang w:val="lt-LT"/>
              </w:rPr>
              <w:t>0</w:t>
            </w:r>
            <w:r w:rsidRPr="008048D3">
              <w:rPr>
                <w:rFonts w:ascii="Verdana" w:hAnsi="Verdana"/>
                <w:sz w:val="16"/>
                <w:szCs w:val="16"/>
                <w:lang w:val="lt-LT"/>
              </w:rPr>
              <w:t> </w:t>
            </w:r>
            <w:r w:rsidR="000A0E05" w:rsidRPr="008048D3">
              <w:rPr>
                <w:rFonts w:ascii="Verdana" w:hAnsi="Verdana"/>
                <w:sz w:val="16"/>
                <w:szCs w:val="16"/>
                <w:lang w:val="lt-LT"/>
              </w:rPr>
              <w:t>000</w:t>
            </w:r>
            <w:r w:rsidRPr="008048D3">
              <w:rPr>
                <w:rFonts w:ascii="Verdana" w:hAnsi="Verdana"/>
                <w:sz w:val="16"/>
                <w:szCs w:val="16"/>
                <w:lang w:val="lt-LT"/>
              </w:rPr>
              <w:t xml:space="preserve"> </w:t>
            </w:r>
            <w:r w:rsidR="000A0E05" w:rsidRPr="008048D3">
              <w:rPr>
                <w:rFonts w:ascii="Verdana" w:hAnsi="Verdana"/>
                <w:sz w:val="16"/>
                <w:szCs w:val="16"/>
                <w:lang w:val="lt-LT"/>
              </w:rPr>
              <w:t xml:space="preserve">000 </w:t>
            </w:r>
            <w:r w:rsidRPr="008048D3">
              <w:rPr>
                <w:rFonts w:ascii="Verdana" w:hAnsi="Verdana"/>
                <w:sz w:val="16"/>
                <w:szCs w:val="16"/>
                <w:lang w:val="lt-LT"/>
              </w:rPr>
              <w:t>Siūlomų akcijų</w:t>
            </w:r>
            <w:r w:rsidR="000A0E05" w:rsidRPr="008048D3">
              <w:rPr>
                <w:rFonts w:ascii="Verdana" w:hAnsi="Verdana"/>
                <w:sz w:val="16"/>
                <w:szCs w:val="16"/>
                <w:lang w:val="lt-LT"/>
              </w:rPr>
              <w:t>.</w:t>
            </w:r>
          </w:p>
          <w:p w14:paraId="4A5E9E58" w14:textId="77777777" w:rsidR="000A0E05" w:rsidRPr="008048D3" w:rsidRDefault="000A0E05" w:rsidP="000A0E05">
            <w:pPr>
              <w:jc w:val="both"/>
              <w:rPr>
                <w:rFonts w:ascii="Verdana" w:hAnsi="Verdana"/>
                <w:sz w:val="16"/>
                <w:szCs w:val="16"/>
                <w:lang w:val="lt-LT"/>
              </w:rPr>
            </w:pPr>
          </w:p>
          <w:p w14:paraId="2AED6518" w14:textId="15A65CD7" w:rsidR="000A0E05" w:rsidRPr="008048D3" w:rsidRDefault="008810E7" w:rsidP="000A0E05">
            <w:pPr>
              <w:jc w:val="both"/>
              <w:rPr>
                <w:rFonts w:ascii="Verdana" w:hAnsi="Verdana"/>
                <w:sz w:val="16"/>
                <w:szCs w:val="16"/>
                <w:lang w:val="lt-LT"/>
              </w:rPr>
            </w:pPr>
            <w:r w:rsidRPr="008048D3">
              <w:rPr>
                <w:rFonts w:ascii="Verdana" w:hAnsi="Verdana"/>
                <w:sz w:val="16"/>
                <w:szCs w:val="16"/>
                <w:lang w:val="lt-LT"/>
              </w:rPr>
              <w:t>Naujos akcijos ir Parduodamos akcijos siūlomos kartu</w:t>
            </w:r>
            <w:r w:rsidR="000A0E05" w:rsidRPr="008048D3">
              <w:rPr>
                <w:rFonts w:ascii="Verdana" w:hAnsi="Verdana"/>
                <w:sz w:val="16"/>
                <w:szCs w:val="16"/>
                <w:lang w:val="lt-LT"/>
              </w:rPr>
              <w:t xml:space="preserve">, </w:t>
            </w:r>
            <w:r w:rsidRPr="008048D3">
              <w:rPr>
                <w:rFonts w:ascii="Verdana" w:hAnsi="Verdana"/>
                <w:sz w:val="16"/>
                <w:szCs w:val="16"/>
                <w:lang w:val="lt-LT"/>
              </w:rPr>
              <w:t>todėl Siūlomas akcijas pasirašantiems Investuotojams gali būti paskirstytos tik Naujos akcijos</w:t>
            </w:r>
            <w:r w:rsidR="000A0E05" w:rsidRPr="008048D3">
              <w:rPr>
                <w:rFonts w:ascii="Verdana" w:hAnsi="Verdana"/>
                <w:sz w:val="16"/>
                <w:szCs w:val="16"/>
                <w:lang w:val="lt-LT"/>
              </w:rPr>
              <w:t>,</w:t>
            </w:r>
            <w:r w:rsidRPr="008048D3">
              <w:rPr>
                <w:rFonts w:ascii="Verdana" w:hAnsi="Verdana"/>
                <w:sz w:val="16"/>
                <w:szCs w:val="16"/>
                <w:lang w:val="lt-LT"/>
              </w:rPr>
              <w:t xml:space="preserve"> tik</w:t>
            </w:r>
            <w:r w:rsidR="000A0E05" w:rsidRPr="008048D3">
              <w:rPr>
                <w:rFonts w:ascii="Verdana" w:hAnsi="Verdana"/>
                <w:sz w:val="16"/>
                <w:szCs w:val="16"/>
                <w:lang w:val="lt-LT"/>
              </w:rPr>
              <w:t xml:space="preserve"> </w:t>
            </w:r>
            <w:r w:rsidRPr="008048D3">
              <w:rPr>
                <w:rFonts w:ascii="Verdana" w:hAnsi="Verdana"/>
                <w:sz w:val="16"/>
                <w:szCs w:val="16"/>
                <w:lang w:val="lt-LT"/>
              </w:rPr>
              <w:t>Parduodamos akcijos arba</w:t>
            </w:r>
            <w:r w:rsidR="000A0E05" w:rsidRPr="008048D3">
              <w:rPr>
                <w:rFonts w:ascii="Verdana" w:hAnsi="Verdana"/>
                <w:sz w:val="16"/>
                <w:szCs w:val="16"/>
                <w:lang w:val="lt-LT"/>
              </w:rPr>
              <w:t xml:space="preserve"> </w:t>
            </w:r>
            <w:r w:rsidRPr="008048D3">
              <w:rPr>
                <w:rFonts w:ascii="Verdana" w:hAnsi="Verdana"/>
                <w:sz w:val="16"/>
                <w:szCs w:val="16"/>
                <w:lang w:val="lt-LT"/>
              </w:rPr>
              <w:t>tiek Naujos akcijos, tiek Parduodamos akcijos</w:t>
            </w:r>
            <w:r w:rsidR="000A0E05" w:rsidRPr="008048D3">
              <w:rPr>
                <w:rFonts w:ascii="Verdana" w:hAnsi="Verdana"/>
                <w:sz w:val="16"/>
                <w:szCs w:val="16"/>
                <w:lang w:val="lt-LT"/>
              </w:rPr>
              <w:t xml:space="preserve">, </w:t>
            </w:r>
            <w:r w:rsidRPr="008048D3">
              <w:rPr>
                <w:rFonts w:ascii="Verdana" w:hAnsi="Verdana"/>
                <w:sz w:val="16"/>
                <w:szCs w:val="16"/>
                <w:lang w:val="lt-LT"/>
              </w:rPr>
              <w:t>atsižvelgiant į toliau aprašytas Siūlymo sąlygas</w:t>
            </w:r>
            <w:r w:rsidR="000A0E05" w:rsidRPr="008048D3">
              <w:rPr>
                <w:rFonts w:ascii="Verdana" w:hAnsi="Verdana"/>
                <w:sz w:val="16"/>
                <w:szCs w:val="16"/>
                <w:lang w:val="lt-LT"/>
              </w:rPr>
              <w:t>.</w:t>
            </w:r>
          </w:p>
          <w:p w14:paraId="704C1C5D" w14:textId="77777777" w:rsidR="000A0E05" w:rsidRPr="008048D3" w:rsidRDefault="000A0E05" w:rsidP="000A0E05">
            <w:pPr>
              <w:jc w:val="both"/>
              <w:rPr>
                <w:rFonts w:ascii="Verdana" w:hAnsi="Verdana"/>
                <w:sz w:val="16"/>
                <w:szCs w:val="16"/>
                <w:lang w:val="lt-LT"/>
              </w:rPr>
            </w:pPr>
          </w:p>
          <w:p w14:paraId="32E9030A" w14:textId="7135E9A4" w:rsidR="000A0E05" w:rsidRPr="008048D3" w:rsidRDefault="000A0E05" w:rsidP="000A0E05">
            <w:pPr>
              <w:jc w:val="both"/>
              <w:rPr>
                <w:rFonts w:ascii="Verdana" w:hAnsi="Verdana"/>
                <w:sz w:val="16"/>
                <w:szCs w:val="16"/>
                <w:lang w:val="lt-LT"/>
              </w:rPr>
            </w:pPr>
            <w:r w:rsidRPr="008048D3">
              <w:rPr>
                <w:rFonts w:ascii="Verdana" w:hAnsi="Verdana"/>
                <w:sz w:val="16"/>
                <w:szCs w:val="16"/>
                <w:lang w:val="lt-LT"/>
              </w:rPr>
              <w:t>T</w:t>
            </w:r>
            <w:r w:rsidR="00DC3C69" w:rsidRPr="008048D3">
              <w:rPr>
                <w:rFonts w:ascii="Verdana" w:hAnsi="Verdana"/>
                <w:sz w:val="16"/>
                <w:szCs w:val="16"/>
                <w:lang w:val="lt-LT"/>
              </w:rPr>
              <w:t>aigi Siūlymo metu</w:t>
            </w:r>
            <w:r w:rsidR="00B76D0F" w:rsidRPr="008048D3">
              <w:rPr>
                <w:rFonts w:ascii="Verdana" w:hAnsi="Verdana"/>
                <w:sz w:val="16"/>
                <w:szCs w:val="16"/>
                <w:lang w:val="lt-LT"/>
              </w:rPr>
              <w:t xml:space="preserve"> siūloma iki </w:t>
            </w:r>
            <w:r w:rsidR="008C7703" w:rsidRPr="008048D3">
              <w:rPr>
                <w:rFonts w:ascii="Verdana" w:hAnsi="Verdana"/>
                <w:sz w:val="16"/>
                <w:szCs w:val="16"/>
                <w:lang w:val="lt-LT"/>
              </w:rPr>
              <w:t>6</w:t>
            </w:r>
            <w:r w:rsidRPr="008048D3">
              <w:rPr>
                <w:rFonts w:ascii="Verdana" w:hAnsi="Verdana"/>
                <w:sz w:val="16"/>
                <w:szCs w:val="16"/>
                <w:lang w:val="lt-LT"/>
              </w:rPr>
              <w:t>0</w:t>
            </w:r>
            <w:r w:rsidR="00C226C3" w:rsidRPr="008048D3">
              <w:rPr>
                <w:rFonts w:ascii="Verdana" w:hAnsi="Verdana"/>
                <w:sz w:val="16"/>
                <w:szCs w:val="16"/>
                <w:lang w:val="lt-LT"/>
              </w:rPr>
              <w:t> </w:t>
            </w:r>
            <w:r w:rsidRPr="008048D3">
              <w:rPr>
                <w:rFonts w:ascii="Verdana" w:hAnsi="Verdana"/>
                <w:sz w:val="16"/>
                <w:szCs w:val="16"/>
                <w:lang w:val="lt-LT"/>
              </w:rPr>
              <w:t>000</w:t>
            </w:r>
            <w:r w:rsidR="00C226C3" w:rsidRPr="008048D3">
              <w:rPr>
                <w:rFonts w:ascii="Verdana" w:hAnsi="Verdana"/>
                <w:sz w:val="16"/>
                <w:szCs w:val="16"/>
                <w:lang w:val="lt-LT"/>
              </w:rPr>
              <w:t> </w:t>
            </w:r>
            <w:r w:rsidRPr="008048D3">
              <w:rPr>
                <w:rFonts w:ascii="Verdana" w:hAnsi="Verdana"/>
                <w:sz w:val="16"/>
                <w:szCs w:val="16"/>
                <w:lang w:val="lt-LT"/>
              </w:rPr>
              <w:t xml:space="preserve">000 </w:t>
            </w:r>
            <w:r w:rsidR="00B76D0F" w:rsidRPr="008048D3">
              <w:rPr>
                <w:rFonts w:ascii="Verdana" w:hAnsi="Verdana"/>
                <w:sz w:val="16"/>
                <w:szCs w:val="16"/>
                <w:lang w:val="lt-LT"/>
              </w:rPr>
              <w:t xml:space="preserve">Siūlomų akcijų: viešai Mažmeniniams investuotojams </w:t>
            </w:r>
            <w:r w:rsidRPr="008048D3">
              <w:rPr>
                <w:rFonts w:ascii="Verdana" w:hAnsi="Verdana"/>
                <w:sz w:val="16"/>
                <w:szCs w:val="16"/>
                <w:lang w:val="lt-LT"/>
              </w:rPr>
              <w:t>Li</w:t>
            </w:r>
            <w:r w:rsidR="00B76D0F" w:rsidRPr="008048D3">
              <w:rPr>
                <w:rFonts w:ascii="Verdana" w:hAnsi="Verdana"/>
                <w:sz w:val="16"/>
                <w:szCs w:val="16"/>
                <w:lang w:val="lt-LT"/>
              </w:rPr>
              <w:t>e</w:t>
            </w:r>
            <w:r w:rsidRPr="008048D3">
              <w:rPr>
                <w:rFonts w:ascii="Verdana" w:hAnsi="Verdana"/>
                <w:sz w:val="16"/>
                <w:szCs w:val="16"/>
                <w:lang w:val="lt-LT"/>
              </w:rPr>
              <w:t>tu</w:t>
            </w:r>
            <w:r w:rsidR="00B76D0F" w:rsidRPr="008048D3">
              <w:rPr>
                <w:rFonts w:ascii="Verdana" w:hAnsi="Verdana"/>
                <w:sz w:val="16"/>
                <w:szCs w:val="16"/>
                <w:lang w:val="lt-LT"/>
              </w:rPr>
              <w:t xml:space="preserve">voje </w:t>
            </w:r>
            <w:r w:rsidRPr="008048D3">
              <w:rPr>
                <w:rFonts w:ascii="Verdana" w:hAnsi="Verdana"/>
                <w:sz w:val="16"/>
                <w:szCs w:val="16"/>
                <w:lang w:val="lt-LT"/>
              </w:rPr>
              <w:t>(t</w:t>
            </w:r>
            <w:r w:rsidR="00B76D0F" w:rsidRPr="008048D3">
              <w:rPr>
                <w:rFonts w:ascii="Verdana" w:hAnsi="Verdana"/>
                <w:sz w:val="16"/>
                <w:szCs w:val="16"/>
                <w:lang w:val="lt-LT"/>
              </w:rPr>
              <w:t xml:space="preserve">oliau – </w:t>
            </w:r>
            <w:r w:rsidR="00B76D0F" w:rsidRPr="008048D3">
              <w:rPr>
                <w:rFonts w:ascii="Verdana" w:hAnsi="Verdana"/>
                <w:b/>
                <w:sz w:val="16"/>
                <w:szCs w:val="16"/>
                <w:lang w:val="lt-LT"/>
              </w:rPr>
              <w:t>Mažmeninis siūlymas</w:t>
            </w:r>
            <w:r w:rsidRPr="008048D3">
              <w:rPr>
                <w:rFonts w:ascii="Verdana" w:hAnsi="Verdana"/>
                <w:sz w:val="16"/>
                <w:szCs w:val="16"/>
                <w:lang w:val="lt-LT"/>
              </w:rPr>
              <w:t>), priva</w:t>
            </w:r>
            <w:r w:rsidR="00B76D0F" w:rsidRPr="008048D3">
              <w:rPr>
                <w:rFonts w:ascii="Verdana" w:hAnsi="Verdana"/>
                <w:sz w:val="16"/>
                <w:szCs w:val="16"/>
                <w:lang w:val="lt-LT"/>
              </w:rPr>
              <w:t xml:space="preserve">čiai </w:t>
            </w:r>
            <w:r w:rsidRPr="008048D3">
              <w:rPr>
                <w:rFonts w:ascii="Verdana" w:hAnsi="Verdana"/>
                <w:sz w:val="16"/>
                <w:szCs w:val="16"/>
                <w:lang w:val="lt-LT"/>
              </w:rPr>
              <w:t>institu</w:t>
            </w:r>
            <w:r w:rsidR="00B76D0F" w:rsidRPr="008048D3">
              <w:rPr>
                <w:rFonts w:ascii="Verdana" w:hAnsi="Verdana"/>
                <w:sz w:val="16"/>
                <w:szCs w:val="16"/>
                <w:lang w:val="lt-LT"/>
              </w:rPr>
              <w:t xml:space="preserve">ciniams arba kvalifikuotiems investuotojams </w:t>
            </w:r>
            <w:r w:rsidRPr="008048D3">
              <w:rPr>
                <w:rFonts w:ascii="Verdana" w:hAnsi="Verdana"/>
                <w:sz w:val="16"/>
                <w:szCs w:val="16"/>
                <w:lang w:val="lt-LT"/>
              </w:rPr>
              <w:t>(</w:t>
            </w:r>
            <w:r w:rsidR="00B76D0F" w:rsidRPr="008048D3">
              <w:rPr>
                <w:rFonts w:ascii="Verdana" w:hAnsi="Verdana"/>
                <w:sz w:val="16"/>
                <w:szCs w:val="16"/>
                <w:lang w:val="lt-LT"/>
              </w:rPr>
              <w:t xml:space="preserve">toliau – </w:t>
            </w:r>
            <w:r w:rsidRPr="008048D3">
              <w:rPr>
                <w:rFonts w:ascii="Verdana" w:hAnsi="Verdana"/>
                <w:b/>
                <w:sz w:val="16"/>
                <w:szCs w:val="16"/>
                <w:lang w:val="lt-LT"/>
              </w:rPr>
              <w:t>Institu</w:t>
            </w:r>
            <w:r w:rsidR="00B76D0F" w:rsidRPr="008048D3">
              <w:rPr>
                <w:rFonts w:ascii="Verdana" w:hAnsi="Verdana"/>
                <w:b/>
                <w:sz w:val="16"/>
                <w:szCs w:val="16"/>
                <w:lang w:val="lt-LT"/>
              </w:rPr>
              <w:t>cinis siūlymas</w:t>
            </w:r>
            <w:r w:rsidRPr="008048D3">
              <w:rPr>
                <w:rFonts w:ascii="Verdana" w:hAnsi="Verdana"/>
                <w:sz w:val="16"/>
                <w:szCs w:val="16"/>
                <w:lang w:val="lt-LT"/>
              </w:rPr>
              <w:t xml:space="preserve">), </w:t>
            </w:r>
            <w:r w:rsidR="00B76D0F" w:rsidRPr="008048D3">
              <w:rPr>
                <w:rFonts w:ascii="Verdana" w:hAnsi="Verdana"/>
                <w:sz w:val="16"/>
                <w:szCs w:val="16"/>
                <w:lang w:val="lt-LT"/>
              </w:rPr>
              <w:t xml:space="preserve">taip pat privačiai atskirai parinktiems neinstituciniams arba nekvalifikuotiems investuotojams </w:t>
            </w:r>
            <w:r w:rsidRPr="008048D3">
              <w:rPr>
                <w:rFonts w:ascii="Verdana" w:hAnsi="Verdana"/>
                <w:sz w:val="16"/>
                <w:szCs w:val="16"/>
                <w:lang w:val="lt-LT"/>
              </w:rPr>
              <w:t>(</w:t>
            </w:r>
            <w:r w:rsidR="00B76D0F" w:rsidRPr="008048D3">
              <w:rPr>
                <w:rFonts w:ascii="Verdana" w:hAnsi="Verdana"/>
                <w:sz w:val="16"/>
                <w:szCs w:val="16"/>
                <w:lang w:val="lt-LT"/>
              </w:rPr>
              <w:t xml:space="preserve">toliau – </w:t>
            </w:r>
            <w:r w:rsidRPr="008048D3">
              <w:rPr>
                <w:rFonts w:ascii="Verdana" w:hAnsi="Verdana"/>
                <w:b/>
                <w:sz w:val="16"/>
                <w:szCs w:val="16"/>
                <w:lang w:val="lt-LT"/>
              </w:rPr>
              <w:t>Privat</w:t>
            </w:r>
            <w:r w:rsidR="00B76D0F" w:rsidRPr="008048D3">
              <w:rPr>
                <w:rFonts w:ascii="Verdana" w:hAnsi="Verdana"/>
                <w:b/>
                <w:sz w:val="16"/>
                <w:szCs w:val="16"/>
                <w:lang w:val="lt-LT"/>
              </w:rPr>
              <w:t>us siūlymas</w:t>
            </w:r>
            <w:r w:rsidRPr="008048D3">
              <w:rPr>
                <w:rFonts w:ascii="Verdana" w:hAnsi="Verdana"/>
                <w:sz w:val="16"/>
                <w:szCs w:val="16"/>
                <w:lang w:val="lt-LT"/>
              </w:rPr>
              <w:t xml:space="preserve">, </w:t>
            </w:r>
            <w:r w:rsidR="00B76D0F" w:rsidRPr="008048D3">
              <w:rPr>
                <w:rFonts w:ascii="Verdana" w:hAnsi="Verdana"/>
                <w:sz w:val="16"/>
                <w:szCs w:val="16"/>
                <w:lang w:val="lt-LT"/>
              </w:rPr>
              <w:t xml:space="preserve">kuris kartu su Mažmeniniu siūlymu ir Instituciniu siūlymu vadinamas </w:t>
            </w:r>
            <w:r w:rsidR="00B76D0F" w:rsidRPr="008048D3">
              <w:rPr>
                <w:rFonts w:ascii="Verdana" w:hAnsi="Verdana"/>
                <w:b/>
                <w:sz w:val="16"/>
                <w:szCs w:val="16"/>
                <w:lang w:val="lt-LT"/>
              </w:rPr>
              <w:t>Siūlymu</w:t>
            </w:r>
            <w:r w:rsidRPr="008048D3">
              <w:rPr>
                <w:rFonts w:ascii="Verdana" w:hAnsi="Verdana"/>
                <w:sz w:val="16"/>
                <w:szCs w:val="16"/>
                <w:lang w:val="lt-LT"/>
              </w:rPr>
              <w:t xml:space="preserve">). </w:t>
            </w:r>
            <w:r w:rsidR="00893C40" w:rsidRPr="008048D3">
              <w:rPr>
                <w:rFonts w:ascii="Verdana" w:hAnsi="Verdana"/>
                <w:sz w:val="16"/>
                <w:szCs w:val="16"/>
                <w:lang w:val="lt-LT"/>
              </w:rPr>
              <w:t>Institucinis siūlymas ir Privatus siūlymas nėra vieši ir jie bus vykdom</w:t>
            </w:r>
            <w:r w:rsidR="00C226C3" w:rsidRPr="008048D3">
              <w:rPr>
                <w:rFonts w:ascii="Verdana" w:hAnsi="Verdana"/>
                <w:sz w:val="16"/>
                <w:szCs w:val="16"/>
                <w:lang w:val="lt-LT"/>
              </w:rPr>
              <w:t>i</w:t>
            </w:r>
            <w:r w:rsidR="00893C40" w:rsidRPr="008048D3">
              <w:rPr>
                <w:rFonts w:ascii="Verdana" w:hAnsi="Verdana"/>
                <w:sz w:val="16"/>
                <w:szCs w:val="16"/>
                <w:lang w:val="lt-LT"/>
              </w:rPr>
              <w:t xml:space="preserve"> remiantis atitinkamomis išimtimis tose </w:t>
            </w:r>
            <w:r w:rsidRPr="008048D3">
              <w:rPr>
                <w:rFonts w:ascii="Verdana" w:hAnsi="Verdana"/>
                <w:sz w:val="16"/>
                <w:szCs w:val="16"/>
                <w:lang w:val="lt-LT"/>
              </w:rPr>
              <w:t>jurisdi</w:t>
            </w:r>
            <w:r w:rsidR="00893C40" w:rsidRPr="008048D3">
              <w:rPr>
                <w:rFonts w:ascii="Verdana" w:hAnsi="Verdana"/>
                <w:sz w:val="16"/>
                <w:szCs w:val="16"/>
                <w:lang w:val="lt-LT"/>
              </w:rPr>
              <w:t>k</w:t>
            </w:r>
            <w:r w:rsidRPr="008048D3">
              <w:rPr>
                <w:rFonts w:ascii="Verdana" w:hAnsi="Verdana"/>
                <w:sz w:val="16"/>
                <w:szCs w:val="16"/>
                <w:lang w:val="lt-LT"/>
              </w:rPr>
              <w:t>c</w:t>
            </w:r>
            <w:r w:rsidR="00893C40" w:rsidRPr="008048D3">
              <w:rPr>
                <w:rFonts w:ascii="Verdana" w:hAnsi="Verdana"/>
                <w:sz w:val="16"/>
                <w:szCs w:val="16"/>
                <w:lang w:val="lt-LT"/>
              </w:rPr>
              <w:t>ijose, kur jie bus vykdomi</w:t>
            </w:r>
            <w:r w:rsidRPr="008048D3">
              <w:rPr>
                <w:rFonts w:ascii="Verdana" w:hAnsi="Verdana"/>
                <w:sz w:val="16"/>
                <w:szCs w:val="16"/>
                <w:lang w:val="lt-LT"/>
              </w:rPr>
              <w:t xml:space="preserve">. </w:t>
            </w:r>
            <w:r w:rsidR="00893C40" w:rsidRPr="008048D3">
              <w:rPr>
                <w:rFonts w:ascii="Verdana" w:hAnsi="Verdana"/>
                <w:sz w:val="16"/>
                <w:szCs w:val="16"/>
                <w:lang w:val="lt-LT"/>
              </w:rPr>
              <w:t>Siūlomos akcijos nėra siūlomos viešai jokioje šalyje, išskyrus Lietuvą</w:t>
            </w:r>
            <w:r w:rsidRPr="008048D3">
              <w:rPr>
                <w:rFonts w:ascii="Verdana" w:hAnsi="Verdana"/>
                <w:sz w:val="16"/>
                <w:szCs w:val="16"/>
                <w:lang w:val="lt-LT"/>
              </w:rPr>
              <w:t xml:space="preserve">. </w:t>
            </w:r>
            <w:r w:rsidR="00D8708A" w:rsidRPr="008048D3">
              <w:rPr>
                <w:rFonts w:ascii="Verdana" w:hAnsi="Verdana"/>
                <w:sz w:val="16"/>
                <w:szCs w:val="16"/>
                <w:lang w:val="lt-LT"/>
              </w:rPr>
              <w:t>Siūlomos akcijos siūlomos Siūlymo kainos ribose</w:t>
            </w:r>
            <w:r w:rsidRPr="008048D3">
              <w:rPr>
                <w:rFonts w:ascii="Verdana" w:hAnsi="Verdana"/>
                <w:sz w:val="16"/>
                <w:szCs w:val="16"/>
                <w:lang w:val="lt-LT"/>
              </w:rPr>
              <w:t xml:space="preserve">, </w:t>
            </w:r>
            <w:r w:rsidR="00D8708A" w:rsidRPr="008048D3">
              <w:rPr>
                <w:rFonts w:ascii="Verdana" w:hAnsi="Verdana"/>
                <w:sz w:val="16"/>
                <w:szCs w:val="16"/>
                <w:lang w:val="lt-LT"/>
              </w:rPr>
              <w:t xml:space="preserve">kurios siekia nuo </w:t>
            </w:r>
            <w:r w:rsidR="000D7894" w:rsidRPr="008048D3">
              <w:rPr>
                <w:rFonts w:ascii="Verdana" w:hAnsi="Verdana"/>
                <w:sz w:val="16"/>
                <w:szCs w:val="16"/>
                <w:lang w:val="lt-LT"/>
              </w:rPr>
              <w:t>0,4</w:t>
            </w:r>
            <w:r w:rsidR="008C7703" w:rsidRPr="008048D3">
              <w:rPr>
                <w:rFonts w:ascii="Verdana" w:hAnsi="Verdana"/>
                <w:sz w:val="16"/>
                <w:szCs w:val="16"/>
                <w:lang w:val="lt-LT"/>
              </w:rPr>
              <w:t>5</w:t>
            </w:r>
            <w:r w:rsidR="00D8708A" w:rsidRPr="008048D3">
              <w:rPr>
                <w:rFonts w:ascii="Verdana" w:hAnsi="Verdana"/>
                <w:sz w:val="16"/>
                <w:szCs w:val="16"/>
                <w:lang w:val="lt-LT"/>
              </w:rPr>
              <w:t xml:space="preserve"> EUR iki </w:t>
            </w:r>
            <w:r w:rsidR="000D7894" w:rsidRPr="008048D3">
              <w:rPr>
                <w:rFonts w:ascii="Verdana" w:hAnsi="Verdana"/>
                <w:sz w:val="16"/>
                <w:szCs w:val="16"/>
                <w:lang w:val="lt-LT"/>
              </w:rPr>
              <w:t>0,5</w:t>
            </w:r>
            <w:r w:rsidR="008C7703" w:rsidRPr="008048D3">
              <w:rPr>
                <w:rFonts w:ascii="Verdana" w:hAnsi="Verdana"/>
                <w:sz w:val="16"/>
                <w:szCs w:val="16"/>
                <w:lang w:val="lt-LT"/>
              </w:rPr>
              <w:t>0</w:t>
            </w:r>
            <w:r w:rsidR="00D8708A" w:rsidRPr="008048D3">
              <w:rPr>
                <w:rFonts w:ascii="Verdana" w:hAnsi="Verdana"/>
                <w:sz w:val="16"/>
                <w:szCs w:val="16"/>
                <w:lang w:val="lt-LT"/>
              </w:rPr>
              <w:t xml:space="preserve"> EUR</w:t>
            </w:r>
            <w:r w:rsidR="008C7703" w:rsidRPr="008048D3">
              <w:rPr>
                <w:rFonts w:ascii="Verdana" w:hAnsi="Verdana"/>
                <w:sz w:val="16"/>
                <w:szCs w:val="16"/>
                <w:lang w:val="lt-LT"/>
              </w:rPr>
              <w:t xml:space="preserve"> už akciją</w:t>
            </w:r>
            <w:r w:rsidRPr="008048D3">
              <w:rPr>
                <w:rFonts w:ascii="Verdana" w:hAnsi="Verdana"/>
                <w:sz w:val="16"/>
                <w:szCs w:val="16"/>
                <w:lang w:val="lt-LT"/>
              </w:rPr>
              <w:t xml:space="preserve">. </w:t>
            </w:r>
            <w:r w:rsidR="00F719B2" w:rsidRPr="008048D3">
              <w:rPr>
                <w:rFonts w:ascii="Verdana" w:hAnsi="Verdana"/>
                <w:sz w:val="16"/>
                <w:szCs w:val="16"/>
                <w:lang w:val="lt-LT"/>
              </w:rPr>
              <w:t>Mažmeniniai i</w:t>
            </w:r>
            <w:r w:rsidRPr="008048D3">
              <w:rPr>
                <w:rFonts w:ascii="Verdana" w:hAnsi="Verdana"/>
                <w:sz w:val="16"/>
                <w:szCs w:val="16"/>
                <w:lang w:val="lt-LT"/>
              </w:rPr>
              <w:t>nvest</w:t>
            </w:r>
            <w:r w:rsidR="00F719B2" w:rsidRPr="008048D3">
              <w:rPr>
                <w:rFonts w:ascii="Verdana" w:hAnsi="Verdana"/>
                <w:sz w:val="16"/>
                <w:szCs w:val="16"/>
                <w:lang w:val="lt-LT"/>
              </w:rPr>
              <w:t xml:space="preserve">uotojai teiks savo pavedimus </w:t>
            </w:r>
            <w:r w:rsidR="00C226C3" w:rsidRPr="008048D3">
              <w:rPr>
                <w:rFonts w:ascii="Verdana" w:hAnsi="Verdana"/>
                <w:sz w:val="16"/>
                <w:szCs w:val="16"/>
                <w:lang w:val="lt-LT"/>
              </w:rPr>
              <w:t xml:space="preserve">eurais </w:t>
            </w:r>
            <w:r w:rsidR="00F719B2" w:rsidRPr="008048D3">
              <w:rPr>
                <w:rFonts w:ascii="Verdana" w:hAnsi="Verdana"/>
                <w:sz w:val="16"/>
                <w:szCs w:val="16"/>
                <w:lang w:val="lt-LT"/>
              </w:rPr>
              <w:t xml:space="preserve">už </w:t>
            </w:r>
            <w:r w:rsidRPr="008048D3">
              <w:rPr>
                <w:rFonts w:ascii="Verdana" w:hAnsi="Verdana"/>
                <w:sz w:val="16"/>
                <w:szCs w:val="16"/>
                <w:lang w:val="lt-LT"/>
              </w:rPr>
              <w:t>Ma</w:t>
            </w:r>
            <w:r w:rsidR="00F719B2" w:rsidRPr="008048D3">
              <w:rPr>
                <w:rFonts w:ascii="Verdana" w:hAnsi="Verdana"/>
                <w:sz w:val="16"/>
                <w:szCs w:val="16"/>
                <w:lang w:val="lt-LT"/>
              </w:rPr>
              <w:t>ks</w:t>
            </w:r>
            <w:r w:rsidRPr="008048D3">
              <w:rPr>
                <w:rFonts w:ascii="Verdana" w:hAnsi="Verdana"/>
                <w:sz w:val="16"/>
                <w:szCs w:val="16"/>
                <w:lang w:val="lt-LT"/>
              </w:rPr>
              <w:t>im</w:t>
            </w:r>
            <w:r w:rsidR="00F719B2" w:rsidRPr="008048D3">
              <w:rPr>
                <w:rFonts w:ascii="Verdana" w:hAnsi="Verdana"/>
                <w:sz w:val="16"/>
                <w:szCs w:val="16"/>
                <w:lang w:val="lt-LT"/>
              </w:rPr>
              <w:t>alią kainą</w:t>
            </w:r>
            <w:r w:rsidRPr="008048D3">
              <w:rPr>
                <w:rFonts w:ascii="Verdana" w:hAnsi="Verdana"/>
                <w:sz w:val="16"/>
                <w:szCs w:val="16"/>
                <w:lang w:val="lt-LT"/>
              </w:rPr>
              <w:t xml:space="preserve">. </w:t>
            </w:r>
            <w:r w:rsidR="00F719B2" w:rsidRPr="008048D3">
              <w:rPr>
                <w:rFonts w:ascii="Verdana" w:hAnsi="Verdana"/>
                <w:sz w:val="16"/>
                <w:szCs w:val="16"/>
                <w:lang w:val="lt-LT"/>
              </w:rPr>
              <w:t xml:space="preserve">Emitentas pasilieka teisę iš viso paskirstyti mažesnį Siūlomų akcijų skaičių nei </w:t>
            </w:r>
            <w:r w:rsidR="008C7703" w:rsidRPr="008048D3">
              <w:rPr>
                <w:rFonts w:ascii="Verdana" w:hAnsi="Verdana"/>
                <w:sz w:val="16"/>
                <w:szCs w:val="16"/>
                <w:lang w:val="lt-LT"/>
              </w:rPr>
              <w:t>6</w:t>
            </w:r>
            <w:r w:rsidRPr="008048D3">
              <w:rPr>
                <w:rFonts w:ascii="Verdana" w:hAnsi="Verdana"/>
                <w:sz w:val="16"/>
                <w:szCs w:val="16"/>
                <w:lang w:val="lt-LT"/>
              </w:rPr>
              <w:t>0</w:t>
            </w:r>
            <w:r w:rsidR="00F719B2" w:rsidRPr="008048D3">
              <w:rPr>
                <w:rFonts w:ascii="Verdana" w:hAnsi="Verdana"/>
                <w:sz w:val="16"/>
                <w:szCs w:val="16"/>
                <w:lang w:val="lt-LT"/>
              </w:rPr>
              <w:t> </w:t>
            </w:r>
            <w:r w:rsidRPr="008048D3">
              <w:rPr>
                <w:rFonts w:ascii="Verdana" w:hAnsi="Verdana"/>
                <w:sz w:val="16"/>
                <w:szCs w:val="16"/>
                <w:lang w:val="lt-LT"/>
              </w:rPr>
              <w:t>000</w:t>
            </w:r>
            <w:r w:rsidR="00F719B2" w:rsidRPr="008048D3">
              <w:rPr>
                <w:rFonts w:ascii="Verdana" w:hAnsi="Verdana"/>
                <w:sz w:val="16"/>
                <w:szCs w:val="16"/>
                <w:lang w:val="lt-LT"/>
              </w:rPr>
              <w:t xml:space="preserve"> </w:t>
            </w:r>
            <w:r w:rsidRPr="008048D3">
              <w:rPr>
                <w:rFonts w:ascii="Verdana" w:hAnsi="Verdana"/>
                <w:sz w:val="16"/>
                <w:szCs w:val="16"/>
                <w:lang w:val="lt-LT"/>
              </w:rPr>
              <w:t xml:space="preserve">000. </w:t>
            </w:r>
            <w:r w:rsidR="00F719B2" w:rsidRPr="008048D3">
              <w:rPr>
                <w:rFonts w:ascii="Verdana" w:hAnsi="Verdana"/>
                <w:sz w:val="16"/>
                <w:szCs w:val="16"/>
                <w:lang w:val="lt-LT"/>
              </w:rPr>
              <w:t>Taip, pavyzdžiui, gali nutikti dėl nepakankamos paklausos</w:t>
            </w:r>
            <w:r w:rsidRPr="008048D3">
              <w:rPr>
                <w:rFonts w:ascii="Verdana" w:hAnsi="Verdana"/>
                <w:sz w:val="16"/>
                <w:szCs w:val="16"/>
                <w:lang w:val="lt-LT"/>
              </w:rPr>
              <w:t>.</w:t>
            </w:r>
          </w:p>
          <w:p w14:paraId="302655CC" w14:textId="77777777" w:rsidR="000A0E05" w:rsidRPr="008048D3" w:rsidRDefault="000A0E05" w:rsidP="000A0E05">
            <w:pPr>
              <w:jc w:val="both"/>
              <w:rPr>
                <w:rFonts w:ascii="Verdana" w:hAnsi="Verdana"/>
                <w:sz w:val="16"/>
                <w:szCs w:val="16"/>
                <w:lang w:val="lt-LT"/>
              </w:rPr>
            </w:pPr>
          </w:p>
          <w:p w14:paraId="49B651AB" w14:textId="2C237653" w:rsidR="000A0E05" w:rsidRPr="008048D3" w:rsidRDefault="00567844" w:rsidP="000A0E05">
            <w:pPr>
              <w:jc w:val="both"/>
              <w:rPr>
                <w:rFonts w:ascii="Verdana" w:hAnsi="Verdana"/>
                <w:sz w:val="16"/>
                <w:szCs w:val="16"/>
                <w:lang w:val="lt-LT"/>
              </w:rPr>
            </w:pPr>
            <w:r w:rsidRPr="008048D3">
              <w:rPr>
                <w:rFonts w:ascii="Verdana" w:hAnsi="Verdana"/>
                <w:sz w:val="16"/>
                <w:szCs w:val="16"/>
                <w:lang w:val="lt-LT"/>
              </w:rPr>
              <w:t xml:space="preserve">Siūlomos akcijos yra paprastosios vardinės akcijos, kurių kiekvienos </w:t>
            </w:r>
            <w:r w:rsidR="000A0E05" w:rsidRPr="008048D3">
              <w:rPr>
                <w:rFonts w:ascii="Verdana" w:hAnsi="Verdana"/>
                <w:sz w:val="16"/>
                <w:szCs w:val="16"/>
                <w:lang w:val="lt-LT"/>
              </w:rPr>
              <w:t>nominal</w:t>
            </w:r>
            <w:r w:rsidRPr="008048D3">
              <w:rPr>
                <w:rFonts w:ascii="Verdana" w:hAnsi="Verdana"/>
                <w:sz w:val="16"/>
                <w:szCs w:val="16"/>
                <w:lang w:val="lt-LT"/>
              </w:rPr>
              <w:t xml:space="preserve">i vertė yra </w:t>
            </w:r>
            <w:r w:rsidR="000A0E05" w:rsidRPr="008048D3">
              <w:rPr>
                <w:rFonts w:ascii="Verdana" w:hAnsi="Verdana"/>
                <w:sz w:val="16"/>
                <w:szCs w:val="16"/>
                <w:lang w:val="lt-LT"/>
              </w:rPr>
              <w:t>0</w:t>
            </w:r>
            <w:r w:rsidRPr="008048D3">
              <w:rPr>
                <w:rFonts w:ascii="Verdana" w:hAnsi="Verdana"/>
                <w:sz w:val="16"/>
                <w:szCs w:val="16"/>
                <w:lang w:val="lt-LT"/>
              </w:rPr>
              <w:t>,</w:t>
            </w:r>
            <w:r w:rsidR="000A0E05" w:rsidRPr="008048D3">
              <w:rPr>
                <w:rFonts w:ascii="Verdana" w:hAnsi="Verdana"/>
                <w:sz w:val="16"/>
                <w:szCs w:val="16"/>
                <w:lang w:val="lt-LT"/>
              </w:rPr>
              <w:t xml:space="preserve">29 </w:t>
            </w:r>
            <w:r w:rsidRPr="008048D3">
              <w:rPr>
                <w:rFonts w:ascii="Verdana" w:hAnsi="Verdana"/>
                <w:sz w:val="16"/>
                <w:szCs w:val="16"/>
                <w:lang w:val="lt-LT"/>
              </w:rPr>
              <w:t>EUR</w:t>
            </w:r>
            <w:r w:rsidR="000A0E05" w:rsidRPr="008048D3">
              <w:rPr>
                <w:rFonts w:ascii="Verdana" w:hAnsi="Verdana"/>
                <w:sz w:val="16"/>
                <w:szCs w:val="16"/>
                <w:lang w:val="lt-LT"/>
              </w:rPr>
              <w:t xml:space="preserve">. </w:t>
            </w:r>
            <w:r w:rsidRPr="008048D3">
              <w:rPr>
                <w:rFonts w:ascii="Verdana" w:hAnsi="Verdana"/>
                <w:sz w:val="16"/>
                <w:szCs w:val="16"/>
                <w:lang w:val="lt-LT"/>
              </w:rPr>
              <w:t>Įregistravus Bendrovės įstatinio kapitalo padidinimą Juridinių asmenų registre</w:t>
            </w:r>
            <w:r w:rsidR="000A0E05" w:rsidRPr="008048D3">
              <w:rPr>
                <w:rFonts w:ascii="Verdana" w:hAnsi="Verdana"/>
                <w:sz w:val="16"/>
                <w:szCs w:val="16"/>
                <w:lang w:val="lt-LT"/>
              </w:rPr>
              <w:t xml:space="preserve">, </w:t>
            </w:r>
            <w:r w:rsidRPr="008048D3">
              <w:rPr>
                <w:rFonts w:ascii="Verdana" w:hAnsi="Verdana"/>
                <w:sz w:val="16"/>
                <w:szCs w:val="16"/>
                <w:lang w:val="lt-LT"/>
              </w:rPr>
              <w:t xml:space="preserve">Naujos akcijos bus registruotos </w:t>
            </w:r>
            <w:proofErr w:type="spellStart"/>
            <w:r w:rsidR="000A0E05" w:rsidRPr="008048D3">
              <w:rPr>
                <w:rFonts w:ascii="Verdana" w:hAnsi="Verdana"/>
                <w:sz w:val="16"/>
                <w:szCs w:val="16"/>
                <w:lang w:val="lt-LT"/>
              </w:rPr>
              <w:t>Nasdaq</w:t>
            </w:r>
            <w:proofErr w:type="spellEnd"/>
            <w:r w:rsidR="000A0E05" w:rsidRPr="008048D3">
              <w:rPr>
                <w:rFonts w:ascii="Verdana" w:hAnsi="Verdana"/>
                <w:sz w:val="16"/>
                <w:szCs w:val="16"/>
                <w:lang w:val="lt-LT"/>
              </w:rPr>
              <w:t xml:space="preserve"> CSD </w:t>
            </w:r>
            <w:r w:rsidRPr="008048D3">
              <w:rPr>
                <w:rFonts w:ascii="Verdana" w:hAnsi="Verdana"/>
                <w:sz w:val="16"/>
                <w:szCs w:val="16"/>
                <w:lang w:val="lt-LT"/>
              </w:rPr>
              <w:t xml:space="preserve">tuo pačiu </w:t>
            </w:r>
            <w:r w:rsidR="000A0E05" w:rsidRPr="008048D3">
              <w:rPr>
                <w:rFonts w:ascii="Verdana" w:hAnsi="Verdana"/>
                <w:sz w:val="16"/>
                <w:szCs w:val="16"/>
                <w:lang w:val="lt-LT"/>
              </w:rPr>
              <w:t>ISIN</w:t>
            </w:r>
            <w:r w:rsidRPr="008048D3">
              <w:rPr>
                <w:rFonts w:ascii="Verdana" w:hAnsi="Verdana"/>
                <w:sz w:val="16"/>
                <w:szCs w:val="16"/>
                <w:lang w:val="lt-LT"/>
              </w:rPr>
              <w:t xml:space="preserve"> kodu kaip ir esamos šiuo metu išleistos Akcijos </w:t>
            </w:r>
            <w:r w:rsidR="000A0E05" w:rsidRPr="008048D3">
              <w:rPr>
                <w:rFonts w:ascii="Verdana" w:hAnsi="Verdana"/>
                <w:sz w:val="16"/>
                <w:szCs w:val="16"/>
                <w:lang w:val="lt-LT"/>
              </w:rPr>
              <w:t>(LT0000127466)</w:t>
            </w:r>
            <w:r w:rsidRPr="008048D3">
              <w:rPr>
                <w:rFonts w:ascii="Verdana" w:hAnsi="Verdana"/>
                <w:sz w:val="16"/>
                <w:szCs w:val="16"/>
                <w:lang w:val="lt-LT"/>
              </w:rPr>
              <w:t xml:space="preserve"> ir bus nematerialios</w:t>
            </w:r>
            <w:r w:rsidR="000A0E05" w:rsidRPr="008048D3">
              <w:rPr>
                <w:rFonts w:ascii="Verdana" w:hAnsi="Verdana"/>
                <w:sz w:val="16"/>
                <w:szCs w:val="16"/>
                <w:lang w:val="lt-LT"/>
              </w:rPr>
              <w:t xml:space="preserve">. </w:t>
            </w:r>
            <w:r w:rsidRPr="008048D3">
              <w:rPr>
                <w:rFonts w:ascii="Verdana" w:hAnsi="Verdana"/>
                <w:sz w:val="16"/>
                <w:szCs w:val="16"/>
                <w:lang w:val="lt-LT"/>
              </w:rPr>
              <w:t>Nėra išleista ir nebus išleista jokių akcijų sertifikatų</w:t>
            </w:r>
            <w:r w:rsidR="000A0E05" w:rsidRPr="008048D3">
              <w:rPr>
                <w:rFonts w:ascii="Verdana" w:hAnsi="Verdana"/>
                <w:sz w:val="16"/>
                <w:szCs w:val="16"/>
                <w:lang w:val="lt-LT"/>
              </w:rPr>
              <w:t>. N</w:t>
            </w:r>
            <w:r w:rsidRPr="008048D3">
              <w:rPr>
                <w:rFonts w:ascii="Verdana" w:hAnsi="Verdana"/>
                <w:sz w:val="16"/>
                <w:szCs w:val="16"/>
                <w:lang w:val="lt-LT"/>
              </w:rPr>
              <w:t xml:space="preserve">aujos akcijos bus denominuotos </w:t>
            </w:r>
            <w:r w:rsidR="000A0E05" w:rsidRPr="008048D3">
              <w:rPr>
                <w:rFonts w:ascii="Verdana" w:hAnsi="Verdana"/>
                <w:sz w:val="16"/>
                <w:szCs w:val="16"/>
                <w:lang w:val="lt-LT"/>
              </w:rPr>
              <w:t>eur</w:t>
            </w:r>
            <w:r w:rsidRPr="008048D3">
              <w:rPr>
                <w:rFonts w:ascii="Verdana" w:hAnsi="Verdana"/>
                <w:sz w:val="16"/>
                <w:szCs w:val="16"/>
                <w:lang w:val="lt-LT"/>
              </w:rPr>
              <w:t>ais, joms bus taikomi Lietuvos įstatymai</w:t>
            </w:r>
            <w:r w:rsidR="000A0E05" w:rsidRPr="008048D3">
              <w:rPr>
                <w:rFonts w:ascii="Verdana" w:hAnsi="Verdana"/>
                <w:sz w:val="16"/>
                <w:szCs w:val="16"/>
                <w:lang w:val="lt-LT"/>
              </w:rPr>
              <w:t xml:space="preserve">. </w:t>
            </w:r>
            <w:r w:rsidRPr="008048D3">
              <w:rPr>
                <w:rFonts w:ascii="Verdana" w:hAnsi="Verdana"/>
                <w:sz w:val="16"/>
                <w:szCs w:val="16"/>
                <w:lang w:val="lt-LT"/>
              </w:rPr>
              <w:t>Siūlomos akcijos bus laisvai perleidžiamos</w:t>
            </w:r>
            <w:r w:rsidR="000A0E05" w:rsidRPr="008048D3">
              <w:rPr>
                <w:rFonts w:ascii="Verdana" w:hAnsi="Verdana"/>
                <w:sz w:val="16"/>
                <w:szCs w:val="16"/>
                <w:lang w:val="lt-LT"/>
              </w:rPr>
              <w:t>.</w:t>
            </w:r>
          </w:p>
          <w:p w14:paraId="7267EFCD" w14:textId="77777777" w:rsidR="000A0E05" w:rsidRPr="008048D3" w:rsidRDefault="000A0E05" w:rsidP="000A0E05">
            <w:pPr>
              <w:jc w:val="both"/>
              <w:rPr>
                <w:rFonts w:ascii="Verdana" w:hAnsi="Verdana"/>
                <w:sz w:val="16"/>
                <w:szCs w:val="16"/>
                <w:lang w:val="lt-LT"/>
              </w:rPr>
            </w:pPr>
          </w:p>
          <w:p w14:paraId="18676DC8" w14:textId="0A9992F9" w:rsidR="000A0E05" w:rsidRPr="008048D3" w:rsidRDefault="00606494" w:rsidP="000A0E05">
            <w:pPr>
              <w:jc w:val="both"/>
              <w:rPr>
                <w:rFonts w:ascii="Verdana" w:hAnsi="Verdana"/>
                <w:sz w:val="16"/>
                <w:szCs w:val="16"/>
                <w:lang w:val="lt-LT"/>
              </w:rPr>
            </w:pPr>
            <w:r w:rsidRPr="008048D3">
              <w:rPr>
                <w:rFonts w:ascii="Verdana" w:hAnsi="Verdana"/>
                <w:sz w:val="16"/>
                <w:szCs w:val="16"/>
                <w:lang w:val="lt-LT"/>
              </w:rPr>
              <w:t xml:space="preserve">Visos </w:t>
            </w:r>
            <w:r w:rsidR="00F719B2" w:rsidRPr="008048D3">
              <w:rPr>
                <w:rFonts w:ascii="Verdana" w:hAnsi="Verdana"/>
                <w:sz w:val="16"/>
                <w:szCs w:val="16"/>
                <w:lang w:val="lt-LT"/>
              </w:rPr>
              <w:t xml:space="preserve">Akcijos </w:t>
            </w:r>
            <w:r w:rsidR="00567844" w:rsidRPr="008048D3">
              <w:rPr>
                <w:rFonts w:ascii="Verdana" w:hAnsi="Verdana"/>
                <w:sz w:val="16"/>
                <w:szCs w:val="16"/>
                <w:lang w:val="lt-LT"/>
              </w:rPr>
              <w:t>yra ir Naujos akcijos bus tos pačios klasės</w:t>
            </w:r>
            <w:r w:rsidR="000A0E05" w:rsidRPr="008048D3">
              <w:rPr>
                <w:rFonts w:ascii="Verdana" w:hAnsi="Verdana"/>
                <w:sz w:val="16"/>
                <w:szCs w:val="16"/>
                <w:lang w:val="lt-LT"/>
              </w:rPr>
              <w:t xml:space="preserve">, </w:t>
            </w:r>
            <w:r w:rsidR="00567844" w:rsidRPr="008048D3">
              <w:rPr>
                <w:rFonts w:ascii="Verdana" w:hAnsi="Verdana"/>
                <w:sz w:val="16"/>
                <w:szCs w:val="16"/>
                <w:lang w:val="lt-LT"/>
              </w:rPr>
              <w:t>lygiavertės (</w:t>
            </w:r>
            <w:proofErr w:type="spellStart"/>
            <w:r w:rsidR="000A0E05" w:rsidRPr="008048D3">
              <w:rPr>
                <w:rFonts w:ascii="Verdana" w:hAnsi="Verdana"/>
                <w:i/>
                <w:sz w:val="16"/>
                <w:szCs w:val="16"/>
                <w:lang w:val="lt-LT"/>
              </w:rPr>
              <w:t>pari</w:t>
            </w:r>
            <w:proofErr w:type="spellEnd"/>
            <w:r w:rsidR="000A0E05" w:rsidRPr="008048D3">
              <w:rPr>
                <w:rFonts w:ascii="Verdana" w:hAnsi="Verdana"/>
                <w:i/>
                <w:sz w:val="16"/>
                <w:szCs w:val="16"/>
                <w:lang w:val="lt-LT"/>
              </w:rPr>
              <w:t xml:space="preserve"> </w:t>
            </w:r>
            <w:proofErr w:type="spellStart"/>
            <w:r w:rsidR="000A0E05" w:rsidRPr="008048D3">
              <w:rPr>
                <w:rFonts w:ascii="Verdana" w:hAnsi="Verdana"/>
                <w:i/>
                <w:sz w:val="16"/>
                <w:szCs w:val="16"/>
                <w:lang w:val="lt-LT"/>
              </w:rPr>
              <w:t>passu</w:t>
            </w:r>
            <w:proofErr w:type="spellEnd"/>
            <w:r w:rsidR="00567844" w:rsidRPr="008048D3">
              <w:rPr>
                <w:rFonts w:ascii="Verdana" w:hAnsi="Verdana"/>
                <w:sz w:val="16"/>
                <w:szCs w:val="16"/>
                <w:lang w:val="lt-LT"/>
              </w:rPr>
              <w:t>)</w:t>
            </w:r>
            <w:r w:rsidR="000A0E05" w:rsidRPr="008048D3">
              <w:rPr>
                <w:rFonts w:ascii="Verdana" w:hAnsi="Verdana"/>
                <w:sz w:val="16"/>
                <w:szCs w:val="16"/>
                <w:lang w:val="lt-LT"/>
              </w:rPr>
              <w:t xml:space="preserve"> </w:t>
            </w:r>
            <w:r w:rsidR="00567844" w:rsidRPr="008048D3">
              <w:rPr>
                <w:rFonts w:ascii="Verdana" w:hAnsi="Verdana"/>
                <w:sz w:val="16"/>
                <w:szCs w:val="16"/>
                <w:lang w:val="lt-LT"/>
              </w:rPr>
              <w:t>vienai kitai ir suteiks vienodas balsavimo teises</w:t>
            </w:r>
            <w:r w:rsidR="000A0E05" w:rsidRPr="008048D3">
              <w:rPr>
                <w:rFonts w:ascii="Verdana" w:hAnsi="Verdana"/>
                <w:sz w:val="16"/>
                <w:szCs w:val="16"/>
                <w:lang w:val="lt-LT"/>
              </w:rPr>
              <w:t xml:space="preserve">. </w:t>
            </w:r>
            <w:r w:rsidR="00567844" w:rsidRPr="008048D3">
              <w:rPr>
                <w:rFonts w:ascii="Verdana" w:hAnsi="Verdana"/>
                <w:sz w:val="16"/>
                <w:szCs w:val="16"/>
                <w:lang w:val="lt-LT"/>
              </w:rPr>
              <w:t xml:space="preserve">Naujos akcijos suteiks teises į </w:t>
            </w:r>
            <w:r w:rsidR="000A0E05" w:rsidRPr="008048D3">
              <w:rPr>
                <w:rFonts w:ascii="Verdana" w:hAnsi="Verdana"/>
                <w:sz w:val="16"/>
                <w:szCs w:val="16"/>
                <w:lang w:val="lt-LT"/>
              </w:rPr>
              <w:t>dividend</w:t>
            </w:r>
            <w:r w:rsidR="00567844" w:rsidRPr="008048D3">
              <w:rPr>
                <w:rFonts w:ascii="Verdana" w:hAnsi="Verdana"/>
                <w:sz w:val="16"/>
                <w:szCs w:val="16"/>
                <w:lang w:val="lt-LT"/>
              </w:rPr>
              <w:t>u</w:t>
            </w:r>
            <w:r w:rsidR="000A0E05" w:rsidRPr="008048D3">
              <w:rPr>
                <w:rFonts w:ascii="Verdana" w:hAnsi="Verdana"/>
                <w:sz w:val="16"/>
                <w:szCs w:val="16"/>
                <w:lang w:val="lt-LT"/>
              </w:rPr>
              <w:t>s</w:t>
            </w:r>
            <w:r w:rsidR="00567844" w:rsidRPr="008048D3">
              <w:rPr>
                <w:rFonts w:ascii="Verdana" w:hAnsi="Verdana"/>
                <w:sz w:val="16"/>
                <w:szCs w:val="16"/>
                <w:lang w:val="lt-LT"/>
              </w:rPr>
              <w:t>, kuri</w:t>
            </w:r>
            <w:r w:rsidR="00C226C3" w:rsidRPr="008048D3">
              <w:rPr>
                <w:rFonts w:ascii="Verdana" w:hAnsi="Verdana"/>
                <w:sz w:val="16"/>
                <w:szCs w:val="16"/>
                <w:lang w:val="lt-LT"/>
              </w:rPr>
              <w:t>u</w:t>
            </w:r>
            <w:r w:rsidR="00567844" w:rsidRPr="008048D3">
              <w:rPr>
                <w:rFonts w:ascii="Verdana" w:hAnsi="Verdana"/>
                <w:sz w:val="16"/>
                <w:szCs w:val="16"/>
                <w:lang w:val="lt-LT"/>
              </w:rPr>
              <w:t>os Bendrovė skelb</w:t>
            </w:r>
            <w:r w:rsidR="00A930D3" w:rsidRPr="008048D3">
              <w:rPr>
                <w:rFonts w:ascii="Verdana" w:hAnsi="Verdana"/>
                <w:sz w:val="16"/>
                <w:szCs w:val="16"/>
                <w:lang w:val="lt-LT"/>
              </w:rPr>
              <w:t>s</w:t>
            </w:r>
            <w:r w:rsidR="00567844" w:rsidRPr="008048D3">
              <w:rPr>
                <w:rFonts w:ascii="Verdana" w:hAnsi="Verdana"/>
                <w:sz w:val="16"/>
                <w:szCs w:val="16"/>
                <w:lang w:val="lt-LT"/>
              </w:rPr>
              <w:t xml:space="preserve"> (jei skelb</w:t>
            </w:r>
            <w:r w:rsidR="00A930D3" w:rsidRPr="008048D3">
              <w:rPr>
                <w:rFonts w:ascii="Verdana" w:hAnsi="Verdana"/>
                <w:sz w:val="16"/>
                <w:szCs w:val="16"/>
                <w:lang w:val="lt-LT"/>
              </w:rPr>
              <w:t>s</w:t>
            </w:r>
            <w:r w:rsidR="00567844" w:rsidRPr="008048D3">
              <w:rPr>
                <w:rFonts w:ascii="Verdana" w:hAnsi="Verdana"/>
                <w:sz w:val="16"/>
                <w:szCs w:val="16"/>
                <w:lang w:val="lt-LT"/>
              </w:rPr>
              <w:t xml:space="preserve">) už 2018 m. sausio 1 d. prasidedančius </w:t>
            </w:r>
            <w:r w:rsidR="000A0E05" w:rsidRPr="008048D3">
              <w:rPr>
                <w:rFonts w:ascii="Verdana" w:hAnsi="Verdana"/>
                <w:sz w:val="16"/>
                <w:szCs w:val="16"/>
                <w:lang w:val="lt-LT"/>
              </w:rPr>
              <w:t>finan</w:t>
            </w:r>
            <w:r w:rsidR="00567844" w:rsidRPr="008048D3">
              <w:rPr>
                <w:rFonts w:ascii="Verdana" w:hAnsi="Verdana"/>
                <w:sz w:val="16"/>
                <w:szCs w:val="16"/>
                <w:lang w:val="lt-LT"/>
              </w:rPr>
              <w:t xml:space="preserve">sinius metus </w:t>
            </w:r>
            <w:r w:rsidR="001E044D" w:rsidRPr="008048D3">
              <w:rPr>
                <w:rFonts w:ascii="Verdana" w:hAnsi="Verdana"/>
                <w:sz w:val="16"/>
                <w:szCs w:val="16"/>
                <w:lang w:val="lt-LT"/>
              </w:rPr>
              <w:t>ir paskesnius finansinius metus</w:t>
            </w:r>
            <w:r w:rsidR="000A0E05" w:rsidRPr="008048D3">
              <w:rPr>
                <w:rFonts w:ascii="Verdana" w:hAnsi="Verdana"/>
                <w:sz w:val="16"/>
                <w:szCs w:val="16"/>
                <w:lang w:val="lt-LT"/>
              </w:rPr>
              <w:t>.</w:t>
            </w:r>
          </w:p>
          <w:p w14:paraId="52EB511F" w14:textId="77777777" w:rsidR="000A0E05" w:rsidRPr="008048D3" w:rsidRDefault="000A0E05" w:rsidP="000A0E05">
            <w:pPr>
              <w:jc w:val="both"/>
              <w:rPr>
                <w:rFonts w:ascii="Verdana" w:hAnsi="Verdana"/>
                <w:sz w:val="16"/>
                <w:szCs w:val="16"/>
                <w:lang w:val="lt-LT"/>
              </w:rPr>
            </w:pPr>
          </w:p>
          <w:p w14:paraId="2893E655" w14:textId="77128AA1" w:rsidR="000A0E05" w:rsidRPr="008048D3" w:rsidRDefault="00025B0B" w:rsidP="000A0E05">
            <w:pPr>
              <w:jc w:val="both"/>
              <w:rPr>
                <w:rFonts w:ascii="Verdana" w:hAnsi="Verdana"/>
                <w:sz w:val="16"/>
                <w:szCs w:val="16"/>
                <w:lang w:val="lt-LT"/>
              </w:rPr>
            </w:pPr>
            <w:r w:rsidRPr="008048D3">
              <w:rPr>
                <w:rFonts w:ascii="Verdana" w:hAnsi="Verdana"/>
                <w:sz w:val="16"/>
                <w:szCs w:val="16"/>
                <w:lang w:val="lt-LT"/>
              </w:rPr>
              <w:t>I</w:t>
            </w:r>
            <w:r w:rsidR="000A0E05" w:rsidRPr="008048D3">
              <w:rPr>
                <w:rFonts w:ascii="Verdana" w:hAnsi="Verdana"/>
                <w:sz w:val="16"/>
                <w:szCs w:val="16"/>
                <w:lang w:val="lt-LT"/>
              </w:rPr>
              <w:t>nforma</w:t>
            </w:r>
            <w:r w:rsidRPr="008048D3">
              <w:rPr>
                <w:rFonts w:ascii="Verdana" w:hAnsi="Verdana"/>
                <w:sz w:val="16"/>
                <w:szCs w:val="16"/>
                <w:lang w:val="lt-LT"/>
              </w:rPr>
              <w:t xml:space="preserve">cija apie Siūlomoms akcijoms taikomus pardavimo apribojimus pateikiama </w:t>
            </w:r>
            <w:r w:rsidR="002C2D69" w:rsidRPr="008048D3">
              <w:rPr>
                <w:rFonts w:ascii="Verdana" w:hAnsi="Verdana"/>
                <w:sz w:val="16"/>
                <w:szCs w:val="16"/>
                <w:lang w:val="lt-LT"/>
              </w:rPr>
              <w:t>5</w:t>
            </w:r>
            <w:r w:rsidR="000A0E05" w:rsidRPr="008048D3">
              <w:rPr>
                <w:rFonts w:ascii="Verdana" w:hAnsi="Verdana"/>
                <w:sz w:val="16"/>
                <w:szCs w:val="16"/>
                <w:lang w:val="lt-LT"/>
              </w:rPr>
              <w:t>.8</w:t>
            </w:r>
            <w:r w:rsidRPr="008048D3">
              <w:rPr>
                <w:rFonts w:ascii="Verdana" w:hAnsi="Verdana"/>
                <w:sz w:val="16"/>
                <w:szCs w:val="16"/>
                <w:lang w:val="lt-LT"/>
              </w:rPr>
              <w:t xml:space="preserve"> </w:t>
            </w:r>
            <w:r w:rsidR="004A6C78" w:rsidRPr="008048D3">
              <w:rPr>
                <w:rFonts w:ascii="Verdana" w:hAnsi="Verdana"/>
                <w:sz w:val="16"/>
                <w:szCs w:val="16"/>
                <w:lang w:val="lt-LT"/>
              </w:rPr>
              <w:t>dalyje</w:t>
            </w:r>
            <w:r w:rsidRPr="008048D3">
              <w:rPr>
                <w:rFonts w:ascii="Verdana" w:hAnsi="Verdana"/>
                <w:sz w:val="16"/>
                <w:szCs w:val="16"/>
                <w:lang w:val="lt-LT"/>
              </w:rPr>
              <w:t xml:space="preserve"> „</w:t>
            </w:r>
            <w:r w:rsidRPr="008048D3">
              <w:rPr>
                <w:rFonts w:ascii="Verdana" w:hAnsi="Verdana"/>
                <w:i/>
                <w:sz w:val="16"/>
                <w:szCs w:val="16"/>
                <w:lang w:val="lt-LT"/>
              </w:rPr>
              <w:t>Pardavimo apribojimai</w:t>
            </w:r>
            <w:r w:rsidRPr="008048D3">
              <w:rPr>
                <w:rFonts w:ascii="Verdana" w:hAnsi="Verdana"/>
                <w:sz w:val="16"/>
                <w:szCs w:val="16"/>
                <w:lang w:val="lt-LT"/>
              </w:rPr>
              <w:t xml:space="preserve">“, o Akcijų, įskaitant Siūlomas akcijas, suteikiamų teisių aprašymas pateikiamas </w:t>
            </w:r>
            <w:r w:rsidR="000A0E05" w:rsidRPr="008048D3">
              <w:rPr>
                <w:rFonts w:ascii="Verdana" w:hAnsi="Verdana"/>
                <w:sz w:val="16"/>
                <w:szCs w:val="16"/>
                <w:lang w:val="lt-LT"/>
              </w:rPr>
              <w:t>5.5</w:t>
            </w:r>
            <w:r w:rsidRPr="008048D3">
              <w:rPr>
                <w:rFonts w:ascii="Verdana" w:hAnsi="Verdana"/>
                <w:sz w:val="16"/>
                <w:szCs w:val="16"/>
                <w:lang w:val="lt-LT"/>
              </w:rPr>
              <w:t xml:space="preserve"> </w:t>
            </w:r>
            <w:r w:rsidR="004A6C78" w:rsidRPr="008048D3">
              <w:rPr>
                <w:rFonts w:ascii="Verdana" w:hAnsi="Verdana"/>
                <w:sz w:val="16"/>
                <w:szCs w:val="16"/>
                <w:lang w:val="lt-LT"/>
              </w:rPr>
              <w:t>dalyje</w:t>
            </w:r>
            <w:r w:rsidRPr="008048D3">
              <w:rPr>
                <w:rFonts w:ascii="Verdana" w:hAnsi="Verdana"/>
                <w:sz w:val="16"/>
                <w:szCs w:val="16"/>
                <w:lang w:val="lt-LT"/>
              </w:rPr>
              <w:t xml:space="preserve"> „</w:t>
            </w:r>
            <w:r w:rsidR="000A0E05" w:rsidRPr="008048D3">
              <w:rPr>
                <w:rFonts w:ascii="Verdana" w:hAnsi="Verdana"/>
                <w:i/>
                <w:sz w:val="16"/>
                <w:szCs w:val="16"/>
                <w:lang w:val="lt-LT"/>
              </w:rPr>
              <w:t>Informa</w:t>
            </w:r>
            <w:r w:rsidRPr="008048D3">
              <w:rPr>
                <w:rFonts w:ascii="Verdana" w:hAnsi="Verdana"/>
                <w:i/>
                <w:sz w:val="16"/>
                <w:szCs w:val="16"/>
                <w:lang w:val="lt-LT"/>
              </w:rPr>
              <w:t>cija apie vertybinius popierius, kuriuos ketinama siūlyti ir įtraukti į prekybą</w:t>
            </w:r>
            <w:r w:rsidRPr="008048D3">
              <w:rPr>
                <w:rFonts w:ascii="Verdana" w:hAnsi="Verdana"/>
                <w:sz w:val="16"/>
                <w:szCs w:val="16"/>
                <w:lang w:val="lt-LT"/>
              </w:rPr>
              <w:t>“</w:t>
            </w:r>
            <w:r w:rsidR="000A0E05" w:rsidRPr="008048D3">
              <w:rPr>
                <w:rFonts w:ascii="Verdana" w:hAnsi="Verdana"/>
                <w:sz w:val="16"/>
                <w:szCs w:val="16"/>
                <w:lang w:val="lt-LT"/>
              </w:rPr>
              <w:t>.</w:t>
            </w:r>
          </w:p>
          <w:p w14:paraId="4CF81D13" w14:textId="77777777" w:rsidR="000A0E05" w:rsidRPr="008048D3" w:rsidRDefault="000A0E05" w:rsidP="000A0E05">
            <w:pPr>
              <w:jc w:val="both"/>
              <w:rPr>
                <w:rFonts w:ascii="Verdana" w:hAnsi="Verdana"/>
                <w:sz w:val="16"/>
                <w:szCs w:val="16"/>
                <w:lang w:val="lt-LT"/>
              </w:rPr>
            </w:pPr>
          </w:p>
          <w:p w14:paraId="658045B4" w14:textId="09E4DEC6" w:rsidR="000A0E05" w:rsidRPr="008048D3" w:rsidRDefault="00025B0B" w:rsidP="000A0E05">
            <w:pPr>
              <w:jc w:val="both"/>
              <w:rPr>
                <w:rFonts w:ascii="Verdana" w:hAnsi="Verdana"/>
                <w:sz w:val="16"/>
                <w:szCs w:val="16"/>
                <w:lang w:val="lt-LT"/>
              </w:rPr>
            </w:pPr>
            <w:r w:rsidRPr="008048D3">
              <w:rPr>
                <w:rFonts w:ascii="Verdana" w:hAnsi="Verdana"/>
                <w:sz w:val="16"/>
                <w:szCs w:val="16"/>
                <w:lang w:val="lt-LT"/>
              </w:rPr>
              <w:t>Siūl</w:t>
            </w:r>
            <w:r w:rsidR="002C3CF9" w:rsidRPr="008048D3">
              <w:rPr>
                <w:rFonts w:ascii="Verdana" w:hAnsi="Verdana"/>
                <w:sz w:val="16"/>
                <w:szCs w:val="16"/>
                <w:lang w:val="lt-LT"/>
              </w:rPr>
              <w:t>y</w:t>
            </w:r>
            <w:r w:rsidRPr="008048D3">
              <w:rPr>
                <w:rFonts w:ascii="Verdana" w:hAnsi="Verdana"/>
                <w:sz w:val="16"/>
                <w:szCs w:val="16"/>
                <w:lang w:val="lt-LT"/>
              </w:rPr>
              <w:t>mo metu bus išleista tiek Naujų akcijų, kiek bus pasirašyta Siūlymo metu ir paskirstyta investuotojams šiame skirsnyje aprašytomis sąlygomis</w:t>
            </w:r>
            <w:r w:rsidR="000A0E05" w:rsidRPr="008048D3">
              <w:rPr>
                <w:rFonts w:ascii="Verdana" w:hAnsi="Verdana"/>
                <w:sz w:val="16"/>
                <w:szCs w:val="16"/>
                <w:lang w:val="lt-LT"/>
              </w:rPr>
              <w:t xml:space="preserve">, </w:t>
            </w:r>
            <w:r w:rsidRPr="008048D3">
              <w:rPr>
                <w:rFonts w:ascii="Verdana" w:hAnsi="Verdana"/>
                <w:sz w:val="16"/>
                <w:szCs w:val="16"/>
                <w:lang w:val="lt-LT"/>
              </w:rPr>
              <w:t>jei valdyba taip nuspręs</w:t>
            </w:r>
            <w:r w:rsidR="000A0E05" w:rsidRPr="008048D3">
              <w:rPr>
                <w:rFonts w:ascii="Verdana" w:hAnsi="Verdana"/>
                <w:sz w:val="16"/>
                <w:szCs w:val="16"/>
                <w:lang w:val="lt-LT"/>
              </w:rPr>
              <w:t xml:space="preserve">. </w:t>
            </w:r>
            <w:r w:rsidR="002F4450" w:rsidRPr="008048D3">
              <w:rPr>
                <w:rFonts w:ascii="Verdana" w:hAnsi="Verdana"/>
                <w:sz w:val="16"/>
                <w:szCs w:val="16"/>
                <w:lang w:val="lt-LT"/>
              </w:rPr>
              <w:t>Siūlym</w:t>
            </w:r>
            <w:r w:rsidR="002C3CF9" w:rsidRPr="008048D3">
              <w:rPr>
                <w:rFonts w:ascii="Verdana" w:hAnsi="Verdana"/>
                <w:sz w:val="16"/>
                <w:szCs w:val="16"/>
                <w:lang w:val="lt-LT"/>
              </w:rPr>
              <w:t xml:space="preserve">o </w:t>
            </w:r>
            <w:r w:rsidR="002F4450" w:rsidRPr="008048D3">
              <w:rPr>
                <w:rFonts w:ascii="Verdana" w:hAnsi="Verdana"/>
                <w:sz w:val="16"/>
                <w:szCs w:val="16"/>
                <w:lang w:val="lt-LT"/>
              </w:rPr>
              <w:t>vykd</w:t>
            </w:r>
            <w:r w:rsidR="002C3CF9" w:rsidRPr="008048D3">
              <w:rPr>
                <w:rFonts w:ascii="Verdana" w:hAnsi="Verdana"/>
                <w:sz w:val="16"/>
                <w:szCs w:val="16"/>
                <w:lang w:val="lt-LT"/>
              </w:rPr>
              <w:t>ymo tikslu</w:t>
            </w:r>
            <w:r w:rsidR="000A0E05" w:rsidRPr="008048D3">
              <w:rPr>
                <w:rFonts w:ascii="Verdana" w:hAnsi="Verdana"/>
                <w:sz w:val="16"/>
                <w:szCs w:val="16"/>
                <w:lang w:val="lt-LT"/>
              </w:rPr>
              <w:t>,</w:t>
            </w:r>
            <w:r w:rsidR="002C3CF9" w:rsidRPr="008048D3">
              <w:rPr>
                <w:rFonts w:ascii="Verdana" w:hAnsi="Verdana"/>
                <w:sz w:val="16"/>
                <w:szCs w:val="16"/>
                <w:lang w:val="lt-LT"/>
              </w:rPr>
              <w:t xml:space="preserve"> </w:t>
            </w:r>
            <w:r w:rsidR="002F4450" w:rsidRPr="008048D3">
              <w:rPr>
                <w:rFonts w:ascii="Verdana" w:hAnsi="Verdana"/>
                <w:sz w:val="16"/>
                <w:szCs w:val="16"/>
                <w:lang w:val="lt-LT"/>
              </w:rPr>
              <w:t xml:space="preserve">2018 m. kovo 28 d. įvykęs visuotinis susirinkimas </w:t>
            </w:r>
            <w:r w:rsidR="000A0E05" w:rsidRPr="008048D3">
              <w:rPr>
                <w:rFonts w:ascii="Verdana" w:hAnsi="Verdana" w:cs="Arial"/>
                <w:sz w:val="16"/>
                <w:szCs w:val="16"/>
                <w:lang w:val="lt-LT"/>
              </w:rPr>
              <w:t>(</w:t>
            </w:r>
            <w:r w:rsidR="002F4450" w:rsidRPr="008048D3">
              <w:rPr>
                <w:rFonts w:ascii="Verdana" w:hAnsi="Verdana" w:cs="Arial"/>
                <w:sz w:val="16"/>
                <w:szCs w:val="16"/>
                <w:lang w:val="lt-LT"/>
              </w:rPr>
              <w:t>kaip pak</w:t>
            </w:r>
            <w:r w:rsidR="00AC32B4" w:rsidRPr="008048D3">
              <w:rPr>
                <w:rFonts w:ascii="Verdana" w:hAnsi="Verdana" w:cs="Arial"/>
                <w:sz w:val="16"/>
                <w:szCs w:val="16"/>
                <w:lang w:val="lt-LT"/>
              </w:rPr>
              <w:t>eistas</w:t>
            </w:r>
            <w:r w:rsidR="002F4450" w:rsidRPr="008048D3">
              <w:rPr>
                <w:rFonts w:ascii="Verdana" w:hAnsi="Verdana" w:cs="Arial"/>
                <w:sz w:val="16"/>
                <w:szCs w:val="16"/>
                <w:lang w:val="lt-LT"/>
              </w:rPr>
              <w:t xml:space="preserve"> 2018 m. balandžio </w:t>
            </w:r>
            <w:r w:rsidR="000A0E05" w:rsidRPr="008048D3">
              <w:rPr>
                <w:rFonts w:ascii="Verdana" w:hAnsi="Verdana" w:cs="Arial"/>
                <w:sz w:val="16"/>
                <w:szCs w:val="16"/>
                <w:lang w:val="lt-LT"/>
              </w:rPr>
              <w:t xml:space="preserve">30 </w:t>
            </w:r>
            <w:r w:rsidR="002F4450" w:rsidRPr="008048D3">
              <w:rPr>
                <w:rFonts w:ascii="Verdana" w:hAnsi="Verdana" w:cs="Arial"/>
                <w:sz w:val="16"/>
                <w:szCs w:val="16"/>
                <w:lang w:val="lt-LT"/>
              </w:rPr>
              <w:t xml:space="preserve">d. ir kaip </w:t>
            </w:r>
            <w:r w:rsidR="00AC32B4" w:rsidRPr="008048D3">
              <w:rPr>
                <w:rFonts w:ascii="Verdana" w:hAnsi="Verdana" w:cs="Arial"/>
                <w:sz w:val="16"/>
                <w:szCs w:val="16"/>
                <w:lang w:val="lt-LT"/>
              </w:rPr>
              <w:t>detalizuotas</w:t>
            </w:r>
            <w:r w:rsidR="002F4450" w:rsidRPr="008048D3">
              <w:rPr>
                <w:rFonts w:ascii="Verdana" w:hAnsi="Verdana" w:cs="Arial"/>
                <w:sz w:val="16"/>
                <w:szCs w:val="16"/>
                <w:lang w:val="lt-LT"/>
              </w:rPr>
              <w:t xml:space="preserve"> 2018 m. </w:t>
            </w:r>
            <w:r w:rsidR="00A4726D" w:rsidRPr="008048D3">
              <w:rPr>
                <w:rFonts w:ascii="Verdana" w:hAnsi="Verdana" w:cs="Arial"/>
                <w:sz w:val="16"/>
                <w:szCs w:val="16"/>
                <w:lang w:val="lt-LT"/>
              </w:rPr>
              <w:t xml:space="preserve">birželio 19 </w:t>
            </w:r>
            <w:r w:rsidR="002F4450" w:rsidRPr="008048D3">
              <w:rPr>
                <w:rFonts w:ascii="Verdana" w:hAnsi="Verdana" w:cs="Arial"/>
                <w:sz w:val="16"/>
                <w:szCs w:val="16"/>
                <w:lang w:val="lt-LT"/>
              </w:rPr>
              <w:t xml:space="preserve">d. </w:t>
            </w:r>
            <w:r w:rsidR="0072505F" w:rsidRPr="008048D3">
              <w:rPr>
                <w:rFonts w:ascii="Verdana" w:hAnsi="Verdana" w:cs="Arial"/>
                <w:sz w:val="16"/>
                <w:szCs w:val="16"/>
                <w:lang w:val="lt-LT"/>
              </w:rPr>
              <w:t>ir 2018 m. birželio 2</w:t>
            </w:r>
            <w:r w:rsidR="00E90E0D" w:rsidRPr="008048D3">
              <w:rPr>
                <w:rFonts w:ascii="Verdana" w:hAnsi="Verdana" w:cs="Arial"/>
                <w:sz w:val="16"/>
                <w:szCs w:val="16"/>
                <w:lang w:val="lt-LT"/>
              </w:rPr>
              <w:t>5</w:t>
            </w:r>
            <w:r w:rsidR="0072505F" w:rsidRPr="008048D3">
              <w:rPr>
                <w:rFonts w:ascii="Verdana" w:hAnsi="Verdana" w:cs="Arial"/>
                <w:sz w:val="16"/>
                <w:szCs w:val="16"/>
                <w:lang w:val="lt-LT"/>
              </w:rPr>
              <w:t xml:space="preserve"> d. </w:t>
            </w:r>
            <w:r w:rsidR="002F4450" w:rsidRPr="008048D3">
              <w:rPr>
                <w:rFonts w:ascii="Verdana" w:hAnsi="Verdana" w:cs="Arial"/>
                <w:sz w:val="16"/>
                <w:szCs w:val="16"/>
                <w:lang w:val="lt-LT"/>
              </w:rPr>
              <w:t>valdybos sprendim</w:t>
            </w:r>
            <w:r w:rsidR="0072505F" w:rsidRPr="008048D3">
              <w:rPr>
                <w:rFonts w:ascii="Verdana" w:hAnsi="Verdana" w:cs="Arial"/>
                <w:sz w:val="16"/>
                <w:szCs w:val="16"/>
                <w:lang w:val="lt-LT"/>
              </w:rPr>
              <w:t>ais</w:t>
            </w:r>
            <w:r w:rsidR="000A0E05" w:rsidRPr="008048D3">
              <w:rPr>
                <w:rFonts w:ascii="Verdana" w:hAnsi="Verdana" w:cs="Arial"/>
                <w:sz w:val="16"/>
                <w:szCs w:val="16"/>
                <w:lang w:val="lt-LT"/>
              </w:rPr>
              <w:t>)</w:t>
            </w:r>
            <w:r w:rsidR="002C3CF9" w:rsidRPr="008048D3">
              <w:rPr>
                <w:rFonts w:ascii="Verdana" w:hAnsi="Verdana" w:cs="Arial"/>
                <w:sz w:val="16"/>
                <w:szCs w:val="16"/>
                <w:lang w:val="lt-LT"/>
              </w:rPr>
              <w:t>,</w:t>
            </w:r>
            <w:r w:rsidR="002F4450" w:rsidRPr="008048D3">
              <w:rPr>
                <w:rFonts w:ascii="Verdana" w:hAnsi="Verdana" w:cs="Arial"/>
                <w:sz w:val="16"/>
                <w:szCs w:val="16"/>
                <w:lang w:val="lt-LT"/>
              </w:rPr>
              <w:t xml:space="preserve"> be kita ko</w:t>
            </w:r>
            <w:r w:rsidR="002C3CF9" w:rsidRPr="008048D3">
              <w:rPr>
                <w:rFonts w:ascii="Verdana" w:hAnsi="Verdana" w:cs="Arial"/>
                <w:sz w:val="16"/>
                <w:szCs w:val="16"/>
                <w:lang w:val="lt-LT"/>
              </w:rPr>
              <w:t>,</w:t>
            </w:r>
            <w:r w:rsidR="002F4450" w:rsidRPr="008048D3">
              <w:rPr>
                <w:rFonts w:ascii="Verdana" w:hAnsi="Verdana" w:cs="Arial"/>
                <w:sz w:val="16"/>
                <w:szCs w:val="16"/>
                <w:lang w:val="lt-LT"/>
              </w:rPr>
              <w:t xml:space="preserve"> nutarė įgalioti valdybą</w:t>
            </w:r>
            <w:r w:rsidR="000A0E05" w:rsidRPr="008048D3">
              <w:rPr>
                <w:rFonts w:ascii="Verdana" w:hAnsi="Verdana"/>
                <w:sz w:val="16"/>
                <w:szCs w:val="16"/>
                <w:lang w:val="lt-LT"/>
              </w:rPr>
              <w:t xml:space="preserve">, </w:t>
            </w:r>
            <w:r w:rsidR="002F4450" w:rsidRPr="008048D3">
              <w:rPr>
                <w:rFonts w:ascii="Verdana" w:hAnsi="Verdana"/>
                <w:sz w:val="16"/>
                <w:szCs w:val="16"/>
                <w:lang w:val="lt-LT"/>
              </w:rPr>
              <w:t>jei Naujų akcijų pasirašymo termino metu bus pasirašytos ne visos Naujos akcijos, spręsti, ar laikyti Bendrovės įstatinio kapitalo padidinimą tikslingu, ir, jei taip</w:t>
            </w:r>
            <w:r w:rsidR="000A0E05" w:rsidRPr="008048D3">
              <w:rPr>
                <w:rFonts w:ascii="Verdana" w:hAnsi="Verdana"/>
                <w:sz w:val="16"/>
                <w:szCs w:val="16"/>
                <w:lang w:val="lt-LT"/>
              </w:rPr>
              <w:t xml:space="preserve">, </w:t>
            </w:r>
            <w:r w:rsidR="002F4450" w:rsidRPr="008048D3">
              <w:rPr>
                <w:rFonts w:ascii="Verdana" w:hAnsi="Verdana"/>
                <w:sz w:val="16"/>
                <w:szCs w:val="16"/>
                <w:lang w:val="lt-LT"/>
              </w:rPr>
              <w:t xml:space="preserve">atlikti reikiamus </w:t>
            </w:r>
            <w:r w:rsidR="00B026D6" w:rsidRPr="008048D3">
              <w:rPr>
                <w:rFonts w:ascii="Verdana" w:hAnsi="Verdana"/>
                <w:sz w:val="16"/>
                <w:szCs w:val="16"/>
                <w:lang w:val="lt-LT"/>
              </w:rPr>
              <w:t>Į</w:t>
            </w:r>
            <w:r w:rsidR="002F4450" w:rsidRPr="008048D3">
              <w:rPr>
                <w:rFonts w:ascii="Verdana" w:hAnsi="Verdana"/>
                <w:sz w:val="16"/>
                <w:szCs w:val="16"/>
                <w:lang w:val="lt-LT"/>
              </w:rPr>
              <w:t>statų pakeitimus dėl įstatinio kapitalo sumos ir Naujų akcijų skaičiaus</w:t>
            </w:r>
            <w:r w:rsidR="000A0E05" w:rsidRPr="008048D3">
              <w:rPr>
                <w:rFonts w:ascii="Verdana" w:hAnsi="Verdana"/>
                <w:sz w:val="16"/>
                <w:szCs w:val="16"/>
                <w:lang w:val="lt-LT"/>
              </w:rPr>
              <w:t>.</w:t>
            </w:r>
          </w:p>
          <w:p w14:paraId="04FF0880" w14:textId="77777777" w:rsidR="000A0E05" w:rsidRPr="008048D3" w:rsidRDefault="000A0E05" w:rsidP="000A0E05">
            <w:pPr>
              <w:jc w:val="both"/>
              <w:rPr>
                <w:rFonts w:ascii="Verdana" w:hAnsi="Verdana"/>
                <w:sz w:val="16"/>
                <w:szCs w:val="16"/>
                <w:lang w:val="lt-LT"/>
              </w:rPr>
            </w:pPr>
          </w:p>
          <w:p w14:paraId="46F5BE83" w14:textId="25C67FB2" w:rsidR="000A0E05" w:rsidRPr="008048D3" w:rsidRDefault="00345B42" w:rsidP="000A0E05">
            <w:pPr>
              <w:jc w:val="both"/>
              <w:rPr>
                <w:rFonts w:ascii="Verdana" w:hAnsi="Verdana"/>
                <w:sz w:val="16"/>
                <w:szCs w:val="16"/>
                <w:lang w:val="lt-LT"/>
              </w:rPr>
            </w:pPr>
            <w:r w:rsidRPr="008048D3">
              <w:rPr>
                <w:rFonts w:ascii="Verdana" w:hAnsi="Verdana"/>
                <w:sz w:val="16"/>
                <w:szCs w:val="16"/>
                <w:lang w:val="lt-LT"/>
              </w:rPr>
              <w:t xml:space="preserve">Nustatoma, kad maksimalus Siūlymo dydis yra </w:t>
            </w:r>
            <w:r w:rsidR="00C54F08" w:rsidRPr="008048D3">
              <w:rPr>
                <w:rFonts w:ascii="Verdana" w:hAnsi="Verdana"/>
                <w:sz w:val="16"/>
                <w:szCs w:val="16"/>
                <w:lang w:val="lt-LT"/>
              </w:rPr>
              <w:t>6</w:t>
            </w:r>
            <w:r w:rsidR="000A0E05" w:rsidRPr="008048D3">
              <w:rPr>
                <w:rFonts w:ascii="Verdana" w:hAnsi="Verdana"/>
                <w:sz w:val="16"/>
                <w:szCs w:val="16"/>
                <w:lang w:val="lt-LT"/>
              </w:rPr>
              <w:t>0</w:t>
            </w:r>
            <w:r w:rsidRPr="008048D3">
              <w:rPr>
                <w:rFonts w:ascii="Verdana" w:hAnsi="Verdana"/>
                <w:sz w:val="16"/>
                <w:szCs w:val="16"/>
                <w:lang w:val="lt-LT"/>
              </w:rPr>
              <w:t> </w:t>
            </w:r>
            <w:r w:rsidR="000A0E05" w:rsidRPr="008048D3">
              <w:rPr>
                <w:rFonts w:ascii="Verdana" w:hAnsi="Verdana"/>
                <w:sz w:val="16"/>
                <w:szCs w:val="16"/>
                <w:lang w:val="lt-LT"/>
              </w:rPr>
              <w:t>000</w:t>
            </w:r>
            <w:r w:rsidRPr="008048D3">
              <w:rPr>
                <w:rFonts w:ascii="Verdana" w:hAnsi="Verdana"/>
                <w:sz w:val="16"/>
                <w:szCs w:val="16"/>
                <w:lang w:val="lt-LT"/>
              </w:rPr>
              <w:t xml:space="preserve"> </w:t>
            </w:r>
            <w:r w:rsidR="000A0E05" w:rsidRPr="008048D3">
              <w:rPr>
                <w:rFonts w:ascii="Verdana" w:hAnsi="Verdana"/>
                <w:sz w:val="16"/>
                <w:szCs w:val="16"/>
                <w:lang w:val="lt-LT"/>
              </w:rPr>
              <w:t xml:space="preserve">000 </w:t>
            </w:r>
            <w:r w:rsidRPr="008048D3">
              <w:rPr>
                <w:rFonts w:ascii="Verdana" w:hAnsi="Verdana"/>
                <w:sz w:val="16"/>
                <w:szCs w:val="16"/>
                <w:lang w:val="lt-LT"/>
              </w:rPr>
              <w:t>Siūlomų akcijų</w:t>
            </w:r>
            <w:r w:rsidR="000A0E05" w:rsidRPr="008048D3">
              <w:rPr>
                <w:rFonts w:ascii="Verdana" w:hAnsi="Verdana"/>
                <w:sz w:val="16"/>
                <w:szCs w:val="16"/>
                <w:lang w:val="lt-LT"/>
              </w:rPr>
              <w:t>. N</w:t>
            </w:r>
            <w:r w:rsidRPr="008048D3">
              <w:rPr>
                <w:rFonts w:ascii="Verdana" w:hAnsi="Verdana"/>
                <w:sz w:val="16"/>
                <w:szCs w:val="16"/>
                <w:lang w:val="lt-LT"/>
              </w:rPr>
              <w:t>enustatomas joks</w:t>
            </w:r>
            <w:r w:rsidR="000A0E05" w:rsidRPr="008048D3">
              <w:rPr>
                <w:rFonts w:ascii="Verdana" w:hAnsi="Verdana"/>
                <w:sz w:val="16"/>
                <w:szCs w:val="16"/>
                <w:lang w:val="lt-LT"/>
              </w:rPr>
              <w:t xml:space="preserve"> minimal</w:t>
            </w:r>
            <w:r w:rsidRPr="008048D3">
              <w:rPr>
                <w:rFonts w:ascii="Verdana" w:hAnsi="Verdana"/>
                <w:sz w:val="16"/>
                <w:szCs w:val="16"/>
                <w:lang w:val="lt-LT"/>
              </w:rPr>
              <w:t>us Siūlymo dydis</w:t>
            </w:r>
            <w:r w:rsidR="000A0E05" w:rsidRPr="008048D3">
              <w:rPr>
                <w:rFonts w:ascii="Verdana" w:hAnsi="Verdana"/>
                <w:sz w:val="16"/>
                <w:szCs w:val="16"/>
                <w:lang w:val="lt-LT"/>
              </w:rPr>
              <w:t>.</w:t>
            </w:r>
          </w:p>
          <w:p w14:paraId="5C9A8147" w14:textId="77777777" w:rsidR="000A0E05" w:rsidRPr="008048D3" w:rsidRDefault="000A0E05" w:rsidP="000A0E05">
            <w:pPr>
              <w:jc w:val="both"/>
              <w:rPr>
                <w:rFonts w:ascii="Verdana" w:hAnsi="Verdana"/>
                <w:sz w:val="16"/>
                <w:szCs w:val="16"/>
                <w:lang w:val="lt-LT"/>
              </w:rPr>
            </w:pPr>
          </w:p>
          <w:p w14:paraId="00407419" w14:textId="3F7CCCB3" w:rsidR="00E90E0D" w:rsidRPr="008048D3" w:rsidRDefault="00E90E0D" w:rsidP="00E90E0D">
            <w:pPr>
              <w:jc w:val="both"/>
              <w:rPr>
                <w:rFonts w:ascii="Verdana" w:hAnsi="Verdana"/>
                <w:sz w:val="16"/>
                <w:szCs w:val="16"/>
                <w:lang w:val="lt-LT"/>
              </w:rPr>
            </w:pPr>
            <w:r w:rsidRPr="008048D3">
              <w:rPr>
                <w:rFonts w:ascii="Verdana" w:hAnsi="Verdana"/>
                <w:sz w:val="16"/>
                <w:szCs w:val="16"/>
                <w:lang w:val="lt-LT"/>
              </w:rPr>
              <w:t>Atkreipiame dėmesį, kad remiantis 2018 m. kovo 28 d.</w:t>
            </w:r>
            <w:r w:rsidR="00E6451E" w:rsidRPr="008048D3">
              <w:rPr>
                <w:rFonts w:ascii="Verdana" w:hAnsi="Verdana"/>
                <w:sz w:val="16"/>
                <w:szCs w:val="16"/>
                <w:lang w:val="lt-LT"/>
              </w:rPr>
              <w:t xml:space="preserve"> </w:t>
            </w:r>
            <w:r w:rsidRPr="008048D3">
              <w:rPr>
                <w:rFonts w:ascii="Verdana" w:hAnsi="Verdana"/>
                <w:sz w:val="16"/>
                <w:szCs w:val="16"/>
                <w:lang w:val="lt-LT"/>
              </w:rPr>
              <w:t xml:space="preserve">vykusio visuotinio susirinkimo priimtais sprendimais (kurie buvo keičiami 2018 m. balandžio 30 d.), Parduodantis akcininkas siūlo Parduodamas akcijas su sąlyga, kad Parduodančio akcininko kreditoriai neprieštaraus tokiam Parduodamų akcijų siūlymui. Taip yra dėl to, kad </w:t>
            </w:r>
            <w:r w:rsidR="00883251" w:rsidRPr="008048D3">
              <w:rPr>
                <w:rFonts w:ascii="Verdana" w:hAnsi="Verdana"/>
                <w:sz w:val="16"/>
                <w:szCs w:val="16"/>
                <w:lang w:val="lt-LT"/>
              </w:rPr>
              <w:t>Prospekto patvirtinimo dieną</w:t>
            </w:r>
            <w:r w:rsidRPr="008048D3">
              <w:rPr>
                <w:rFonts w:ascii="Verdana" w:hAnsi="Verdana"/>
                <w:sz w:val="16"/>
                <w:szCs w:val="16"/>
                <w:lang w:val="lt-LT"/>
              </w:rPr>
              <w:t xml:space="preserve"> </w:t>
            </w:r>
            <w:r w:rsidR="00883251" w:rsidRPr="008048D3">
              <w:rPr>
                <w:rFonts w:ascii="Verdana" w:hAnsi="Verdana"/>
                <w:sz w:val="16"/>
                <w:szCs w:val="16"/>
                <w:lang w:val="lt-LT"/>
              </w:rPr>
              <w:t>Parduodamos akcijos yra įkeistos Parduodantį akcininką finansuojančiam paskolos davėjui, kad būtų užtikrinti Parduodančio akcininko turimi įsipareigojimai paskolos davėjui</w:t>
            </w:r>
            <w:r w:rsidRPr="008048D3">
              <w:rPr>
                <w:rFonts w:ascii="Verdana" w:hAnsi="Verdana"/>
                <w:sz w:val="16"/>
                <w:szCs w:val="16"/>
                <w:lang w:val="lt-LT"/>
              </w:rPr>
              <w:t xml:space="preserve">. </w:t>
            </w:r>
            <w:r w:rsidR="00883251" w:rsidRPr="008048D3">
              <w:rPr>
                <w:rFonts w:ascii="Verdana" w:hAnsi="Verdana"/>
                <w:sz w:val="16"/>
                <w:szCs w:val="16"/>
                <w:lang w:val="lt-LT"/>
              </w:rPr>
              <w:t>Jei šiame Prospekte numatyta sąlyga dėl galimybės siūlyti Parduodamas akcijas bus įvykdyta ir Parduodamos akcijos bus paskirst</w:t>
            </w:r>
            <w:r w:rsidR="00E6451E" w:rsidRPr="008048D3">
              <w:rPr>
                <w:rFonts w:ascii="Verdana" w:hAnsi="Verdana"/>
                <w:sz w:val="16"/>
                <w:szCs w:val="16"/>
                <w:lang w:val="lt-LT"/>
              </w:rPr>
              <w:t xml:space="preserve">omos </w:t>
            </w:r>
            <w:r w:rsidRPr="008048D3">
              <w:rPr>
                <w:rFonts w:ascii="Verdana" w:hAnsi="Verdana"/>
                <w:sz w:val="16"/>
                <w:szCs w:val="16"/>
                <w:lang w:val="lt-LT"/>
              </w:rPr>
              <w:t>Invest</w:t>
            </w:r>
            <w:r w:rsidR="00883251" w:rsidRPr="008048D3">
              <w:rPr>
                <w:rFonts w:ascii="Verdana" w:hAnsi="Verdana"/>
                <w:sz w:val="16"/>
                <w:szCs w:val="16"/>
                <w:lang w:val="lt-LT"/>
              </w:rPr>
              <w:t>uotojams</w:t>
            </w:r>
            <w:r w:rsidRPr="008048D3">
              <w:rPr>
                <w:rFonts w:ascii="Verdana" w:hAnsi="Verdana"/>
                <w:sz w:val="16"/>
                <w:szCs w:val="16"/>
                <w:lang w:val="lt-LT"/>
              </w:rPr>
              <w:t xml:space="preserve">, </w:t>
            </w:r>
            <w:r w:rsidR="00883251" w:rsidRPr="008048D3">
              <w:rPr>
                <w:rFonts w:ascii="Verdana" w:hAnsi="Verdana"/>
                <w:sz w:val="16"/>
                <w:szCs w:val="16"/>
                <w:lang w:val="lt-LT"/>
              </w:rPr>
              <w:t>Parduodamų akcijų įkeitimas iki Atsiskaitymo dienos bus panaikintas ir Parduodamos akcijos bus perlei</w:t>
            </w:r>
            <w:r w:rsidR="00E6451E" w:rsidRPr="008048D3">
              <w:rPr>
                <w:rFonts w:ascii="Verdana" w:hAnsi="Verdana"/>
                <w:sz w:val="16"/>
                <w:szCs w:val="16"/>
                <w:lang w:val="lt-LT"/>
              </w:rPr>
              <w:t xml:space="preserve">džiamos </w:t>
            </w:r>
            <w:r w:rsidRPr="008048D3">
              <w:rPr>
                <w:rFonts w:ascii="Verdana" w:hAnsi="Verdana"/>
                <w:sz w:val="16"/>
                <w:szCs w:val="16"/>
                <w:lang w:val="lt-LT"/>
              </w:rPr>
              <w:t>Invest</w:t>
            </w:r>
            <w:r w:rsidR="00883251" w:rsidRPr="008048D3">
              <w:rPr>
                <w:rFonts w:ascii="Verdana" w:hAnsi="Verdana"/>
                <w:sz w:val="16"/>
                <w:szCs w:val="16"/>
                <w:lang w:val="lt-LT"/>
              </w:rPr>
              <w:t>uotojams be jokių suvaržymų</w:t>
            </w:r>
            <w:r w:rsidRPr="008048D3">
              <w:rPr>
                <w:rFonts w:ascii="Verdana" w:hAnsi="Verdana"/>
                <w:sz w:val="16"/>
                <w:szCs w:val="16"/>
                <w:lang w:val="lt-LT"/>
              </w:rPr>
              <w:t xml:space="preserve">. </w:t>
            </w:r>
            <w:r w:rsidR="00883251" w:rsidRPr="008048D3">
              <w:rPr>
                <w:rFonts w:ascii="Verdana" w:hAnsi="Verdana"/>
                <w:sz w:val="16"/>
                <w:szCs w:val="16"/>
                <w:lang w:val="lt-LT"/>
              </w:rPr>
              <w:t>Jei nurodyta sąlyga iki minėto termino nebus įvykdyta</w:t>
            </w:r>
            <w:r w:rsidRPr="008048D3">
              <w:rPr>
                <w:rFonts w:ascii="Verdana" w:hAnsi="Verdana"/>
                <w:sz w:val="16"/>
                <w:szCs w:val="16"/>
                <w:lang w:val="lt-LT"/>
              </w:rPr>
              <w:t xml:space="preserve">, </w:t>
            </w:r>
            <w:r w:rsidR="00883251" w:rsidRPr="008048D3">
              <w:rPr>
                <w:rFonts w:ascii="Verdana" w:hAnsi="Verdana"/>
                <w:sz w:val="16"/>
                <w:szCs w:val="16"/>
                <w:lang w:val="lt-LT"/>
              </w:rPr>
              <w:t>Parduodamos akcijos Investuotojams nebus paskirstomos</w:t>
            </w:r>
            <w:r w:rsidRPr="008048D3">
              <w:rPr>
                <w:rFonts w:ascii="Verdana" w:hAnsi="Verdana"/>
                <w:sz w:val="16"/>
                <w:szCs w:val="16"/>
                <w:lang w:val="lt-LT"/>
              </w:rPr>
              <w:t>.</w:t>
            </w:r>
          </w:p>
          <w:p w14:paraId="35A8793A" w14:textId="77777777" w:rsidR="00E90E0D" w:rsidRPr="008048D3" w:rsidRDefault="00E90E0D" w:rsidP="000A0E05">
            <w:pPr>
              <w:jc w:val="both"/>
              <w:rPr>
                <w:rFonts w:ascii="Verdana" w:hAnsi="Verdana"/>
                <w:sz w:val="16"/>
                <w:szCs w:val="16"/>
                <w:lang w:val="lt-LT"/>
              </w:rPr>
            </w:pPr>
          </w:p>
          <w:p w14:paraId="2E5E6AE5" w14:textId="43B2991B" w:rsidR="000A0E05" w:rsidRPr="008048D3" w:rsidRDefault="002C3CF9" w:rsidP="000A0E05">
            <w:pPr>
              <w:jc w:val="both"/>
              <w:rPr>
                <w:rFonts w:ascii="Verdana" w:hAnsi="Verdana"/>
                <w:sz w:val="16"/>
                <w:szCs w:val="16"/>
                <w:lang w:val="lt-LT"/>
              </w:rPr>
            </w:pPr>
            <w:r w:rsidRPr="008048D3">
              <w:rPr>
                <w:rFonts w:ascii="Verdana" w:hAnsi="Verdana"/>
                <w:sz w:val="16"/>
                <w:szCs w:val="16"/>
                <w:lang w:val="lt-LT"/>
              </w:rPr>
              <w:t xml:space="preserve">Nenustatomos jokios vykdant </w:t>
            </w:r>
            <w:r w:rsidR="00540464" w:rsidRPr="008048D3">
              <w:rPr>
                <w:rFonts w:ascii="Verdana" w:hAnsi="Verdana"/>
                <w:sz w:val="16"/>
                <w:szCs w:val="16"/>
                <w:lang w:val="lt-LT"/>
              </w:rPr>
              <w:t>Siūlym</w:t>
            </w:r>
            <w:r w:rsidRPr="008048D3">
              <w:rPr>
                <w:rFonts w:ascii="Verdana" w:hAnsi="Verdana"/>
                <w:sz w:val="16"/>
                <w:szCs w:val="16"/>
                <w:lang w:val="lt-LT"/>
              </w:rPr>
              <w:t>ą taikomos</w:t>
            </w:r>
            <w:r w:rsidR="00540464" w:rsidRPr="008048D3">
              <w:rPr>
                <w:rFonts w:ascii="Verdana" w:hAnsi="Verdana"/>
                <w:sz w:val="16"/>
                <w:szCs w:val="16"/>
                <w:lang w:val="lt-LT"/>
              </w:rPr>
              <w:t xml:space="preserve"> Investuotojų dalys</w:t>
            </w:r>
            <w:r w:rsidR="000A0E05" w:rsidRPr="008048D3">
              <w:rPr>
                <w:rFonts w:ascii="Verdana" w:hAnsi="Verdana"/>
                <w:sz w:val="16"/>
                <w:szCs w:val="16"/>
                <w:lang w:val="lt-LT"/>
              </w:rPr>
              <w:t xml:space="preserve">. </w:t>
            </w:r>
            <w:r w:rsidR="00EC1D57" w:rsidRPr="008048D3">
              <w:rPr>
                <w:rFonts w:ascii="Verdana" w:hAnsi="Verdana"/>
                <w:sz w:val="16"/>
                <w:szCs w:val="16"/>
                <w:lang w:val="lt-LT"/>
              </w:rPr>
              <w:t>Be to</w:t>
            </w:r>
            <w:r w:rsidR="000A0E05" w:rsidRPr="008048D3">
              <w:rPr>
                <w:rFonts w:ascii="Verdana" w:hAnsi="Verdana"/>
                <w:sz w:val="16"/>
                <w:szCs w:val="16"/>
                <w:lang w:val="lt-LT"/>
              </w:rPr>
              <w:t xml:space="preserve">, </w:t>
            </w:r>
            <w:r w:rsidR="00EC1D57" w:rsidRPr="008048D3">
              <w:rPr>
                <w:rFonts w:ascii="Verdana" w:hAnsi="Verdana"/>
                <w:sz w:val="16"/>
                <w:szCs w:val="16"/>
                <w:lang w:val="lt-LT"/>
              </w:rPr>
              <w:t>Siūlomų akcijų padalinimas tarp Mažmenini</w:t>
            </w:r>
            <w:r w:rsidRPr="008048D3">
              <w:rPr>
                <w:rFonts w:ascii="Verdana" w:hAnsi="Verdana"/>
                <w:sz w:val="16"/>
                <w:szCs w:val="16"/>
                <w:lang w:val="lt-LT"/>
              </w:rPr>
              <w:t>o</w:t>
            </w:r>
            <w:r w:rsidR="00EC1D57" w:rsidRPr="008048D3">
              <w:rPr>
                <w:rFonts w:ascii="Verdana" w:hAnsi="Verdana"/>
                <w:sz w:val="16"/>
                <w:szCs w:val="16"/>
                <w:lang w:val="lt-LT"/>
              </w:rPr>
              <w:t xml:space="preserve"> siūlymo</w:t>
            </w:r>
            <w:r w:rsidR="000A0E05" w:rsidRPr="008048D3">
              <w:rPr>
                <w:rFonts w:ascii="Verdana" w:hAnsi="Verdana"/>
                <w:sz w:val="16"/>
                <w:szCs w:val="16"/>
                <w:lang w:val="lt-LT"/>
              </w:rPr>
              <w:t>, Institu</w:t>
            </w:r>
            <w:r w:rsidR="00EC1D57" w:rsidRPr="008048D3">
              <w:rPr>
                <w:rFonts w:ascii="Verdana" w:hAnsi="Verdana"/>
                <w:sz w:val="16"/>
                <w:szCs w:val="16"/>
                <w:lang w:val="lt-LT"/>
              </w:rPr>
              <w:t xml:space="preserve">cinio siūlymo ir </w:t>
            </w:r>
            <w:r w:rsidR="000A0E05" w:rsidRPr="008048D3">
              <w:rPr>
                <w:rFonts w:ascii="Verdana" w:hAnsi="Verdana"/>
                <w:sz w:val="16"/>
                <w:szCs w:val="16"/>
                <w:lang w:val="lt-LT"/>
              </w:rPr>
              <w:t>Privat</w:t>
            </w:r>
            <w:r w:rsidR="00EC1D57" w:rsidRPr="008048D3">
              <w:rPr>
                <w:rFonts w:ascii="Verdana" w:hAnsi="Verdana"/>
                <w:sz w:val="16"/>
                <w:szCs w:val="16"/>
                <w:lang w:val="lt-LT"/>
              </w:rPr>
              <w:t xml:space="preserve">aus siūlymo iš anksto nenustatomas – Bendrovė dėl jo nuspręs pasitarusi su </w:t>
            </w:r>
            <w:r w:rsidR="00EC1D57" w:rsidRPr="008048D3">
              <w:rPr>
                <w:rFonts w:ascii="Verdana" w:hAnsi="Verdana" w:cs="Arial"/>
                <w:sz w:val="16"/>
                <w:szCs w:val="16"/>
                <w:lang w:val="lt-LT"/>
              </w:rPr>
              <w:t xml:space="preserve">Pasauliniu pagrindiniu platintoju pagal </w:t>
            </w:r>
            <w:r w:rsidR="004A6C78" w:rsidRPr="008048D3">
              <w:rPr>
                <w:rFonts w:ascii="Verdana" w:hAnsi="Verdana" w:cs="Arial"/>
                <w:sz w:val="16"/>
                <w:szCs w:val="16"/>
                <w:lang w:val="lt-LT"/>
              </w:rPr>
              <w:t>dalyje</w:t>
            </w:r>
            <w:r w:rsidR="00EC1D57" w:rsidRPr="008048D3">
              <w:rPr>
                <w:rFonts w:ascii="Verdana" w:hAnsi="Verdana" w:cs="Arial"/>
                <w:sz w:val="16"/>
                <w:szCs w:val="16"/>
                <w:lang w:val="lt-LT"/>
              </w:rPr>
              <w:t xml:space="preserve"> „</w:t>
            </w:r>
            <w:r w:rsidR="00EC1D57" w:rsidRPr="008048D3">
              <w:rPr>
                <w:rFonts w:ascii="Verdana" w:hAnsi="Verdana" w:cs="Arial"/>
                <w:i/>
                <w:sz w:val="16"/>
                <w:szCs w:val="16"/>
                <w:lang w:val="lt-LT"/>
              </w:rPr>
              <w:t>Paskirstymas ir priskyrimas</w:t>
            </w:r>
            <w:r w:rsidR="00EC1D57" w:rsidRPr="008048D3">
              <w:rPr>
                <w:rFonts w:ascii="Verdana" w:hAnsi="Verdana" w:cs="Arial"/>
                <w:sz w:val="16"/>
                <w:szCs w:val="16"/>
                <w:lang w:val="lt-LT"/>
              </w:rPr>
              <w:t xml:space="preserve">“ aprašytus </w:t>
            </w:r>
            <w:r w:rsidR="000A0E05" w:rsidRPr="008048D3">
              <w:rPr>
                <w:rFonts w:ascii="Verdana" w:hAnsi="Verdana"/>
                <w:sz w:val="16"/>
                <w:szCs w:val="16"/>
                <w:lang w:val="lt-LT"/>
              </w:rPr>
              <w:t>princip</w:t>
            </w:r>
            <w:r w:rsidR="00EC1D57" w:rsidRPr="008048D3">
              <w:rPr>
                <w:rFonts w:ascii="Verdana" w:hAnsi="Verdana"/>
                <w:sz w:val="16"/>
                <w:szCs w:val="16"/>
                <w:lang w:val="lt-LT"/>
              </w:rPr>
              <w:t>u</w:t>
            </w:r>
            <w:r w:rsidR="000A0E05" w:rsidRPr="008048D3">
              <w:rPr>
                <w:rFonts w:ascii="Verdana" w:hAnsi="Verdana"/>
                <w:sz w:val="16"/>
                <w:szCs w:val="16"/>
                <w:lang w:val="lt-LT"/>
              </w:rPr>
              <w:t>s.</w:t>
            </w:r>
          </w:p>
          <w:p w14:paraId="77378E75" w14:textId="77777777" w:rsidR="000A0E05" w:rsidRPr="008048D3" w:rsidRDefault="000A0E05" w:rsidP="000A0E05">
            <w:pPr>
              <w:jc w:val="both"/>
              <w:rPr>
                <w:rFonts w:ascii="Verdana" w:hAnsi="Verdana"/>
                <w:sz w:val="16"/>
                <w:szCs w:val="16"/>
                <w:highlight w:val="yellow"/>
                <w:lang w:val="lt-LT"/>
              </w:rPr>
            </w:pPr>
          </w:p>
          <w:p w14:paraId="29611258" w14:textId="11203061" w:rsidR="000A0E05" w:rsidRPr="008048D3" w:rsidRDefault="00807851" w:rsidP="000A0E05">
            <w:pPr>
              <w:jc w:val="both"/>
              <w:rPr>
                <w:rFonts w:ascii="Verdana" w:hAnsi="Verdana"/>
                <w:sz w:val="16"/>
                <w:szCs w:val="16"/>
                <w:highlight w:val="yellow"/>
                <w:lang w:val="lt-LT"/>
              </w:rPr>
            </w:pPr>
            <w:r w:rsidRPr="008048D3">
              <w:rPr>
                <w:rFonts w:ascii="Verdana" w:hAnsi="Verdana"/>
                <w:sz w:val="16"/>
                <w:szCs w:val="16"/>
                <w:lang w:val="lt-LT"/>
              </w:rPr>
              <w:t>Siūlomos akcijos siūlomos už Siūlymo kainą</w:t>
            </w:r>
            <w:r w:rsidR="000A0E05" w:rsidRPr="008048D3">
              <w:rPr>
                <w:rFonts w:ascii="Verdana" w:hAnsi="Verdana"/>
                <w:sz w:val="16"/>
                <w:szCs w:val="16"/>
                <w:lang w:val="lt-LT"/>
              </w:rPr>
              <w:t xml:space="preserve">, </w:t>
            </w:r>
            <w:r w:rsidRPr="008048D3">
              <w:rPr>
                <w:rFonts w:ascii="Verdana" w:hAnsi="Verdana"/>
                <w:sz w:val="16"/>
                <w:szCs w:val="16"/>
                <w:lang w:val="lt-LT"/>
              </w:rPr>
              <w:t xml:space="preserve">kuri bus nustatoma </w:t>
            </w:r>
            <w:r w:rsidR="00B3129E" w:rsidRPr="008048D3">
              <w:rPr>
                <w:rFonts w:ascii="Verdana" w:hAnsi="Verdana"/>
                <w:sz w:val="16"/>
                <w:szCs w:val="16"/>
                <w:lang w:val="lt-LT"/>
              </w:rPr>
              <w:t xml:space="preserve">orientacinių </w:t>
            </w:r>
            <w:r w:rsidRPr="008048D3">
              <w:rPr>
                <w:rFonts w:ascii="Verdana" w:hAnsi="Verdana"/>
                <w:sz w:val="16"/>
                <w:szCs w:val="16"/>
                <w:lang w:val="lt-LT"/>
              </w:rPr>
              <w:t>paraiškų įsigyti akcijas registravimo laikotarpiu ir išreikšta eurais</w:t>
            </w:r>
            <w:r w:rsidR="000A0E05" w:rsidRPr="008048D3">
              <w:rPr>
                <w:rFonts w:ascii="Verdana" w:hAnsi="Verdana"/>
                <w:sz w:val="16"/>
                <w:szCs w:val="16"/>
                <w:lang w:val="lt-LT"/>
              </w:rPr>
              <w:t xml:space="preserve">. </w:t>
            </w:r>
            <w:r w:rsidRPr="008048D3">
              <w:rPr>
                <w:rFonts w:ascii="Verdana" w:hAnsi="Verdana"/>
                <w:sz w:val="16"/>
                <w:szCs w:val="16"/>
                <w:lang w:val="lt-LT"/>
              </w:rPr>
              <w:t>Galutinį Investuotojams priskirtų Siūl</w:t>
            </w:r>
            <w:r w:rsidR="004A6C78" w:rsidRPr="008048D3">
              <w:rPr>
                <w:rFonts w:ascii="Verdana" w:hAnsi="Verdana"/>
                <w:sz w:val="16"/>
                <w:szCs w:val="16"/>
                <w:lang w:val="lt-LT"/>
              </w:rPr>
              <w:t xml:space="preserve">omų </w:t>
            </w:r>
            <w:r w:rsidRPr="008048D3">
              <w:rPr>
                <w:rFonts w:ascii="Verdana" w:hAnsi="Verdana"/>
                <w:sz w:val="16"/>
                <w:szCs w:val="16"/>
                <w:lang w:val="lt-LT"/>
              </w:rPr>
              <w:t xml:space="preserve">akcijų skaičių Emitentas nustatys susitaręs su </w:t>
            </w:r>
            <w:r w:rsidRPr="008048D3">
              <w:rPr>
                <w:rFonts w:ascii="Verdana" w:hAnsi="Verdana" w:cs="Arial"/>
                <w:sz w:val="16"/>
                <w:szCs w:val="16"/>
                <w:lang w:val="lt-LT"/>
              </w:rPr>
              <w:t xml:space="preserve">Pasauliniu pagrindiniu platintoju po to, kai bus nustatyta </w:t>
            </w:r>
            <w:r w:rsidRPr="008048D3">
              <w:rPr>
                <w:rFonts w:ascii="Verdana" w:hAnsi="Verdana"/>
                <w:sz w:val="16"/>
                <w:szCs w:val="16"/>
                <w:lang w:val="lt-LT"/>
              </w:rPr>
              <w:t>Siūlymo kaina</w:t>
            </w:r>
            <w:r w:rsidR="000A0E05" w:rsidRPr="008048D3">
              <w:rPr>
                <w:rFonts w:ascii="Verdana" w:hAnsi="Verdana"/>
                <w:sz w:val="16"/>
                <w:szCs w:val="16"/>
                <w:lang w:val="lt-LT"/>
              </w:rPr>
              <w:t xml:space="preserve">, </w:t>
            </w:r>
            <w:r w:rsidR="002C3CF9" w:rsidRPr="008048D3">
              <w:rPr>
                <w:rFonts w:ascii="Verdana" w:hAnsi="Verdana"/>
                <w:sz w:val="16"/>
                <w:szCs w:val="16"/>
                <w:lang w:val="lt-LT"/>
              </w:rPr>
              <w:t xml:space="preserve">ir toks skaičius </w:t>
            </w:r>
            <w:r w:rsidRPr="008048D3">
              <w:rPr>
                <w:rFonts w:ascii="Verdana" w:hAnsi="Verdana"/>
                <w:sz w:val="16"/>
                <w:szCs w:val="16"/>
                <w:lang w:val="lt-LT"/>
              </w:rPr>
              <w:t xml:space="preserve">nebus didesnis nei </w:t>
            </w:r>
            <w:r w:rsidR="00D86D15" w:rsidRPr="008048D3">
              <w:rPr>
                <w:rFonts w:ascii="Verdana" w:hAnsi="Verdana"/>
                <w:sz w:val="16"/>
                <w:szCs w:val="16"/>
                <w:lang w:val="lt-LT"/>
              </w:rPr>
              <w:t>6</w:t>
            </w:r>
            <w:r w:rsidR="000A0E05" w:rsidRPr="008048D3">
              <w:rPr>
                <w:rFonts w:ascii="Verdana" w:hAnsi="Verdana"/>
                <w:sz w:val="16"/>
                <w:szCs w:val="16"/>
                <w:lang w:val="lt-LT"/>
              </w:rPr>
              <w:t>0</w:t>
            </w:r>
            <w:r w:rsidRPr="008048D3">
              <w:rPr>
                <w:rFonts w:ascii="Verdana" w:hAnsi="Verdana"/>
                <w:sz w:val="16"/>
                <w:szCs w:val="16"/>
                <w:lang w:val="lt-LT"/>
              </w:rPr>
              <w:t> </w:t>
            </w:r>
            <w:r w:rsidR="000A0E05" w:rsidRPr="008048D3">
              <w:rPr>
                <w:rFonts w:ascii="Verdana" w:hAnsi="Verdana"/>
                <w:sz w:val="16"/>
                <w:szCs w:val="16"/>
                <w:lang w:val="lt-LT"/>
              </w:rPr>
              <w:t>000</w:t>
            </w:r>
            <w:r w:rsidRPr="008048D3">
              <w:rPr>
                <w:rFonts w:ascii="Verdana" w:hAnsi="Verdana"/>
                <w:sz w:val="16"/>
                <w:szCs w:val="16"/>
                <w:lang w:val="lt-LT"/>
              </w:rPr>
              <w:t xml:space="preserve"> </w:t>
            </w:r>
            <w:r w:rsidR="000A0E05" w:rsidRPr="008048D3">
              <w:rPr>
                <w:rFonts w:ascii="Verdana" w:hAnsi="Verdana"/>
                <w:sz w:val="16"/>
                <w:szCs w:val="16"/>
                <w:lang w:val="lt-LT"/>
              </w:rPr>
              <w:t>000.</w:t>
            </w:r>
          </w:p>
          <w:p w14:paraId="0C098CEB" w14:textId="77777777" w:rsidR="000A0E05" w:rsidRPr="008048D3" w:rsidRDefault="000A0E05" w:rsidP="000A0E05">
            <w:pPr>
              <w:jc w:val="both"/>
              <w:rPr>
                <w:rFonts w:ascii="Verdana" w:hAnsi="Verdana"/>
                <w:sz w:val="16"/>
                <w:szCs w:val="16"/>
                <w:highlight w:val="yellow"/>
                <w:lang w:val="lt-LT"/>
              </w:rPr>
            </w:pPr>
          </w:p>
          <w:p w14:paraId="0CDFA55E" w14:textId="0165BAF6" w:rsidR="000A0E05" w:rsidRPr="008048D3" w:rsidRDefault="00AE65CA" w:rsidP="000A0E05">
            <w:pPr>
              <w:pStyle w:val="KLGIPOBody"/>
              <w:spacing w:before="0" w:after="0" w:line="240" w:lineRule="auto"/>
              <w:rPr>
                <w:rFonts w:ascii="Verdana" w:hAnsi="Verdana"/>
                <w:sz w:val="16"/>
                <w:szCs w:val="16"/>
                <w:lang w:val="lt-LT"/>
              </w:rPr>
            </w:pPr>
            <w:r w:rsidRPr="008048D3">
              <w:rPr>
                <w:rFonts w:ascii="Verdana" w:hAnsi="Verdana"/>
                <w:sz w:val="16"/>
                <w:szCs w:val="16"/>
                <w:lang w:val="lt-LT"/>
              </w:rPr>
              <w:t xml:space="preserve">Jei bendra </w:t>
            </w:r>
            <w:r w:rsidR="00B3129E" w:rsidRPr="008048D3">
              <w:rPr>
                <w:rFonts w:ascii="Verdana" w:hAnsi="Verdana"/>
                <w:sz w:val="16"/>
                <w:szCs w:val="16"/>
                <w:lang w:val="lt-LT"/>
              </w:rPr>
              <w:t>Siūlomų akcijų paklausa b</w:t>
            </w:r>
            <w:r w:rsidR="002C3CF9" w:rsidRPr="008048D3">
              <w:rPr>
                <w:rFonts w:ascii="Verdana" w:hAnsi="Verdana"/>
                <w:sz w:val="16"/>
                <w:szCs w:val="16"/>
                <w:lang w:val="lt-LT"/>
              </w:rPr>
              <w:t>us</w:t>
            </w:r>
            <w:r w:rsidR="00B3129E" w:rsidRPr="008048D3">
              <w:rPr>
                <w:rFonts w:ascii="Verdana" w:hAnsi="Verdana"/>
                <w:sz w:val="16"/>
                <w:szCs w:val="16"/>
                <w:lang w:val="lt-LT"/>
              </w:rPr>
              <w:t xml:space="preserve"> iki </w:t>
            </w:r>
            <w:r w:rsidR="000A0E05" w:rsidRPr="008048D3">
              <w:rPr>
                <w:rFonts w:ascii="Verdana" w:hAnsi="Verdana"/>
                <w:sz w:val="16"/>
                <w:szCs w:val="16"/>
                <w:lang w:val="lt-LT"/>
              </w:rPr>
              <w:t>(i</w:t>
            </w:r>
            <w:r w:rsidR="00B3129E" w:rsidRPr="008048D3">
              <w:rPr>
                <w:rFonts w:ascii="Verdana" w:hAnsi="Verdana"/>
                <w:sz w:val="16"/>
                <w:szCs w:val="16"/>
                <w:lang w:val="lt-LT"/>
              </w:rPr>
              <w:t>mtinai</w:t>
            </w:r>
            <w:r w:rsidR="000A0E05" w:rsidRPr="008048D3">
              <w:rPr>
                <w:rFonts w:ascii="Verdana" w:hAnsi="Verdana"/>
                <w:sz w:val="16"/>
                <w:szCs w:val="16"/>
                <w:lang w:val="lt-LT"/>
              </w:rPr>
              <w:t xml:space="preserve">) </w:t>
            </w:r>
            <w:r w:rsidR="002C2D69" w:rsidRPr="008048D3">
              <w:rPr>
                <w:rFonts w:ascii="Verdana" w:hAnsi="Verdana"/>
                <w:sz w:val="16"/>
                <w:szCs w:val="16"/>
                <w:lang w:val="lt-LT"/>
              </w:rPr>
              <w:t xml:space="preserve">40 000 000 </w:t>
            </w:r>
            <w:r w:rsidR="00D86D15" w:rsidRPr="008048D3">
              <w:rPr>
                <w:rFonts w:ascii="Verdana" w:hAnsi="Verdana"/>
                <w:sz w:val="16"/>
                <w:szCs w:val="16"/>
                <w:lang w:val="lt-LT"/>
              </w:rPr>
              <w:t xml:space="preserve">Akcijų </w:t>
            </w:r>
            <w:r w:rsidR="00B3129E" w:rsidRPr="008048D3">
              <w:rPr>
                <w:rFonts w:ascii="Verdana" w:hAnsi="Verdana"/>
                <w:sz w:val="16"/>
                <w:szCs w:val="16"/>
                <w:lang w:val="lt-LT"/>
              </w:rPr>
              <w:t xml:space="preserve">ir jei valdyba nuspręs </w:t>
            </w:r>
            <w:r w:rsidR="002C3CF9" w:rsidRPr="008048D3">
              <w:rPr>
                <w:rFonts w:ascii="Verdana" w:hAnsi="Verdana"/>
                <w:sz w:val="16"/>
                <w:szCs w:val="16"/>
                <w:lang w:val="lt-LT"/>
              </w:rPr>
              <w:t xml:space="preserve">tęsti </w:t>
            </w:r>
            <w:r w:rsidR="00B3129E" w:rsidRPr="008048D3">
              <w:rPr>
                <w:rFonts w:ascii="Verdana" w:hAnsi="Verdana"/>
                <w:sz w:val="16"/>
                <w:szCs w:val="16"/>
                <w:lang w:val="lt-LT"/>
              </w:rPr>
              <w:t>Siūlym</w:t>
            </w:r>
            <w:r w:rsidR="002C3CF9" w:rsidRPr="008048D3">
              <w:rPr>
                <w:rFonts w:ascii="Verdana" w:hAnsi="Verdana"/>
                <w:sz w:val="16"/>
                <w:szCs w:val="16"/>
                <w:lang w:val="lt-LT"/>
              </w:rPr>
              <w:t>o vykdymą</w:t>
            </w:r>
            <w:r w:rsidR="000A0E05" w:rsidRPr="008048D3">
              <w:rPr>
                <w:rFonts w:ascii="Verdana" w:hAnsi="Verdana"/>
                <w:sz w:val="16"/>
                <w:szCs w:val="16"/>
                <w:lang w:val="lt-LT"/>
              </w:rPr>
              <w:t xml:space="preserve">, </w:t>
            </w:r>
            <w:r w:rsidR="00B3129E" w:rsidRPr="008048D3">
              <w:rPr>
                <w:rFonts w:ascii="Verdana" w:hAnsi="Verdana"/>
                <w:sz w:val="16"/>
                <w:szCs w:val="16"/>
                <w:lang w:val="lt-LT"/>
              </w:rPr>
              <w:t xml:space="preserve">tuomet visos paskirstytos Akcijos bus tik </w:t>
            </w:r>
            <w:r w:rsidR="000A0E05" w:rsidRPr="008048D3">
              <w:rPr>
                <w:rFonts w:ascii="Verdana" w:hAnsi="Verdana"/>
                <w:sz w:val="16"/>
                <w:szCs w:val="16"/>
                <w:lang w:val="lt-LT"/>
              </w:rPr>
              <w:t>N</w:t>
            </w:r>
            <w:r w:rsidR="00B3129E" w:rsidRPr="008048D3">
              <w:rPr>
                <w:rFonts w:ascii="Verdana" w:hAnsi="Verdana"/>
                <w:sz w:val="16"/>
                <w:szCs w:val="16"/>
                <w:lang w:val="lt-LT"/>
              </w:rPr>
              <w:t>aujos akcijos</w:t>
            </w:r>
            <w:r w:rsidR="000A0E05" w:rsidRPr="008048D3">
              <w:rPr>
                <w:rFonts w:ascii="Verdana" w:hAnsi="Verdana"/>
                <w:sz w:val="16"/>
                <w:szCs w:val="16"/>
                <w:lang w:val="lt-LT"/>
              </w:rPr>
              <w:t xml:space="preserve">. </w:t>
            </w:r>
            <w:r w:rsidR="00B3129E" w:rsidRPr="008048D3">
              <w:rPr>
                <w:rFonts w:ascii="Verdana" w:hAnsi="Verdana"/>
                <w:sz w:val="16"/>
                <w:szCs w:val="16"/>
                <w:lang w:val="lt-LT"/>
              </w:rPr>
              <w:t>Jei bendra Siūlomų akcijų paklausa viršy</w:t>
            </w:r>
            <w:r w:rsidR="002C3CF9" w:rsidRPr="008048D3">
              <w:rPr>
                <w:rFonts w:ascii="Verdana" w:hAnsi="Verdana"/>
                <w:sz w:val="16"/>
                <w:szCs w:val="16"/>
                <w:lang w:val="lt-LT"/>
              </w:rPr>
              <w:t>s</w:t>
            </w:r>
            <w:r w:rsidR="00B3129E" w:rsidRPr="008048D3">
              <w:rPr>
                <w:rFonts w:ascii="Verdana" w:hAnsi="Verdana"/>
                <w:sz w:val="16"/>
                <w:szCs w:val="16"/>
                <w:lang w:val="lt-LT"/>
              </w:rPr>
              <w:t xml:space="preserve"> </w:t>
            </w:r>
            <w:r w:rsidR="002C2D69" w:rsidRPr="008048D3">
              <w:rPr>
                <w:rFonts w:ascii="Verdana" w:hAnsi="Verdana"/>
                <w:sz w:val="16"/>
                <w:szCs w:val="16"/>
                <w:lang w:val="lt-LT"/>
              </w:rPr>
              <w:t xml:space="preserve">40 000 000 </w:t>
            </w:r>
            <w:r w:rsidR="00D86D15" w:rsidRPr="008048D3">
              <w:rPr>
                <w:rFonts w:ascii="Verdana" w:hAnsi="Verdana"/>
                <w:sz w:val="16"/>
                <w:szCs w:val="16"/>
                <w:lang w:val="lt-LT"/>
              </w:rPr>
              <w:t xml:space="preserve">Akcijų </w:t>
            </w:r>
            <w:r w:rsidR="00B3129E" w:rsidRPr="008048D3">
              <w:rPr>
                <w:rFonts w:ascii="Verdana" w:hAnsi="Verdana"/>
                <w:sz w:val="16"/>
                <w:szCs w:val="16"/>
                <w:lang w:val="lt-LT"/>
              </w:rPr>
              <w:t xml:space="preserve">ir jei valdyba nuspręs </w:t>
            </w:r>
            <w:r w:rsidR="002C3CF9" w:rsidRPr="008048D3">
              <w:rPr>
                <w:rFonts w:ascii="Verdana" w:hAnsi="Verdana"/>
                <w:sz w:val="16"/>
                <w:szCs w:val="16"/>
                <w:lang w:val="lt-LT"/>
              </w:rPr>
              <w:t>tęsti Siūlymo vykdymą</w:t>
            </w:r>
            <w:r w:rsidR="00B3129E" w:rsidRPr="008048D3">
              <w:rPr>
                <w:rFonts w:ascii="Verdana" w:hAnsi="Verdana"/>
                <w:sz w:val="16"/>
                <w:szCs w:val="16"/>
                <w:lang w:val="lt-LT"/>
              </w:rPr>
              <w:t xml:space="preserve">, tada </w:t>
            </w:r>
            <w:r w:rsidR="00D86D15" w:rsidRPr="008048D3">
              <w:rPr>
                <w:rFonts w:ascii="Verdana" w:hAnsi="Verdana"/>
                <w:sz w:val="16"/>
                <w:szCs w:val="16"/>
                <w:lang w:val="lt-LT"/>
              </w:rPr>
              <w:t xml:space="preserve">papildomai paklausai patenkinti bus naudojamos tik </w:t>
            </w:r>
            <w:r w:rsidR="00B3129E" w:rsidRPr="008048D3">
              <w:rPr>
                <w:rFonts w:ascii="Verdana" w:hAnsi="Verdana"/>
                <w:sz w:val="16"/>
                <w:szCs w:val="16"/>
                <w:lang w:val="lt-LT"/>
              </w:rPr>
              <w:t>Parduodamos akcijos</w:t>
            </w:r>
            <w:r w:rsidR="00D86D15" w:rsidRPr="008048D3">
              <w:rPr>
                <w:rFonts w:ascii="Verdana" w:hAnsi="Verdana"/>
                <w:sz w:val="16"/>
                <w:szCs w:val="16"/>
                <w:lang w:val="lt-LT"/>
              </w:rPr>
              <w:t xml:space="preserve"> –</w:t>
            </w:r>
            <w:r w:rsidR="000A0E05" w:rsidRPr="008048D3">
              <w:rPr>
                <w:rFonts w:ascii="Verdana" w:hAnsi="Verdana"/>
                <w:sz w:val="16"/>
                <w:szCs w:val="16"/>
                <w:lang w:val="lt-LT"/>
              </w:rPr>
              <w:t xml:space="preserve"> </w:t>
            </w:r>
            <w:r w:rsidR="00B3129E" w:rsidRPr="008048D3">
              <w:rPr>
                <w:rFonts w:ascii="Verdana" w:hAnsi="Verdana"/>
                <w:sz w:val="16"/>
                <w:szCs w:val="16"/>
                <w:lang w:val="lt-LT"/>
              </w:rPr>
              <w:t>iki</w:t>
            </w:r>
            <w:r w:rsidR="00D86D15" w:rsidRPr="008048D3">
              <w:rPr>
                <w:rFonts w:ascii="Verdana" w:hAnsi="Verdana"/>
                <w:sz w:val="16"/>
                <w:szCs w:val="16"/>
                <w:lang w:val="lt-LT"/>
              </w:rPr>
              <w:t xml:space="preserve"> </w:t>
            </w:r>
            <w:r w:rsidR="00B3129E" w:rsidRPr="008048D3">
              <w:rPr>
                <w:rFonts w:ascii="Verdana" w:hAnsi="Verdana"/>
                <w:sz w:val="16"/>
                <w:szCs w:val="16"/>
                <w:lang w:val="lt-LT"/>
              </w:rPr>
              <w:t xml:space="preserve">bendro </w:t>
            </w:r>
            <w:r w:rsidR="00D86D15" w:rsidRPr="008048D3">
              <w:rPr>
                <w:rFonts w:ascii="Verdana" w:hAnsi="Verdana"/>
                <w:sz w:val="16"/>
                <w:szCs w:val="16"/>
                <w:lang w:val="lt-LT"/>
              </w:rPr>
              <w:t>6</w:t>
            </w:r>
            <w:r w:rsidR="000A0E05" w:rsidRPr="008048D3">
              <w:rPr>
                <w:rFonts w:ascii="Verdana" w:hAnsi="Verdana"/>
                <w:sz w:val="16"/>
                <w:szCs w:val="16"/>
                <w:lang w:val="lt-LT"/>
              </w:rPr>
              <w:t>0</w:t>
            </w:r>
            <w:r w:rsidR="00B3129E" w:rsidRPr="008048D3">
              <w:rPr>
                <w:rFonts w:ascii="Verdana" w:hAnsi="Verdana"/>
                <w:sz w:val="16"/>
                <w:szCs w:val="16"/>
                <w:lang w:val="lt-LT"/>
              </w:rPr>
              <w:t> </w:t>
            </w:r>
            <w:r w:rsidR="000A0E05" w:rsidRPr="008048D3">
              <w:rPr>
                <w:rFonts w:ascii="Verdana" w:hAnsi="Verdana"/>
                <w:sz w:val="16"/>
                <w:szCs w:val="16"/>
                <w:lang w:val="lt-LT"/>
              </w:rPr>
              <w:t>000</w:t>
            </w:r>
            <w:r w:rsidR="00B3129E" w:rsidRPr="008048D3">
              <w:rPr>
                <w:rFonts w:ascii="Verdana" w:hAnsi="Verdana"/>
                <w:sz w:val="16"/>
                <w:szCs w:val="16"/>
                <w:lang w:val="lt-LT"/>
              </w:rPr>
              <w:t xml:space="preserve"> </w:t>
            </w:r>
            <w:r w:rsidR="000A0E05" w:rsidRPr="008048D3">
              <w:rPr>
                <w:rFonts w:ascii="Verdana" w:hAnsi="Verdana"/>
                <w:sz w:val="16"/>
                <w:szCs w:val="16"/>
                <w:lang w:val="lt-LT"/>
              </w:rPr>
              <w:t xml:space="preserve">000 </w:t>
            </w:r>
            <w:r w:rsidR="00B3129E" w:rsidRPr="008048D3">
              <w:rPr>
                <w:rFonts w:ascii="Verdana" w:hAnsi="Verdana"/>
                <w:sz w:val="16"/>
                <w:szCs w:val="16"/>
                <w:lang w:val="lt-LT"/>
              </w:rPr>
              <w:t xml:space="preserve">Siūlomų akcijų </w:t>
            </w:r>
            <w:r w:rsidR="00D86D15" w:rsidRPr="008048D3">
              <w:rPr>
                <w:rFonts w:ascii="Verdana" w:hAnsi="Verdana"/>
                <w:sz w:val="16"/>
                <w:szCs w:val="16"/>
                <w:lang w:val="lt-LT"/>
              </w:rPr>
              <w:t>skaičiaus</w:t>
            </w:r>
            <w:r w:rsidR="000A0E05" w:rsidRPr="008048D3">
              <w:rPr>
                <w:rFonts w:ascii="Verdana" w:hAnsi="Verdana"/>
                <w:sz w:val="16"/>
                <w:szCs w:val="16"/>
                <w:lang w:val="lt-LT"/>
              </w:rPr>
              <w:t>.</w:t>
            </w:r>
          </w:p>
          <w:p w14:paraId="75038A6F" w14:textId="09EED02B" w:rsidR="00D02FEC" w:rsidRPr="008048D3" w:rsidRDefault="00D02FEC" w:rsidP="000A0E05">
            <w:pPr>
              <w:pStyle w:val="KLGIPOBody"/>
              <w:spacing w:before="0" w:after="0" w:line="240" w:lineRule="auto"/>
              <w:rPr>
                <w:rFonts w:ascii="Verdana" w:eastAsia="Calibri" w:hAnsi="Verdana" w:cs="Times New Roman"/>
                <w:sz w:val="16"/>
                <w:szCs w:val="16"/>
                <w:lang w:val="lt-LT"/>
              </w:rPr>
            </w:pPr>
            <w:r w:rsidRPr="008048D3">
              <w:rPr>
                <w:rFonts w:ascii="Verdana" w:eastAsia="Calibri" w:hAnsi="Verdana" w:cs="Times New Roman"/>
                <w:sz w:val="16"/>
                <w:szCs w:val="16"/>
                <w:lang w:val="lt-LT"/>
              </w:rPr>
              <w:t xml:space="preserve"> </w:t>
            </w:r>
          </w:p>
          <w:p w14:paraId="750FFF19" w14:textId="5B12FB79" w:rsidR="00F05A66" w:rsidRPr="008048D3" w:rsidRDefault="00F05A66" w:rsidP="00F05A66">
            <w:pPr>
              <w:jc w:val="both"/>
              <w:rPr>
                <w:rFonts w:ascii="Verdana" w:hAnsi="Verdana"/>
                <w:sz w:val="16"/>
                <w:szCs w:val="16"/>
                <w:lang w:val="lt-LT"/>
              </w:rPr>
            </w:pPr>
            <w:r w:rsidRPr="008048D3">
              <w:rPr>
                <w:rFonts w:ascii="Verdana" w:hAnsi="Verdana"/>
                <w:sz w:val="16"/>
                <w:szCs w:val="16"/>
                <w:lang w:val="lt-LT"/>
              </w:rPr>
              <w:t xml:space="preserve">Tačiau atkreipiame dėmesį, kad 2018 m. liepos 16 d. šaukiamas neeilinis visuotinis susirinkimas. Šiame neeiliniame visuotiniame susirinkime bus balsuojama dėl sprendimo </w:t>
            </w:r>
            <w:r w:rsidR="00B70406" w:rsidRPr="008048D3">
              <w:rPr>
                <w:rFonts w:ascii="Verdana" w:hAnsi="Verdana"/>
                <w:sz w:val="16"/>
                <w:szCs w:val="16"/>
                <w:lang w:val="lt-LT"/>
              </w:rPr>
              <w:t xml:space="preserve">pakeisti </w:t>
            </w:r>
            <w:r w:rsidRPr="008048D3">
              <w:rPr>
                <w:rFonts w:ascii="Verdana" w:hAnsi="Verdana"/>
                <w:sz w:val="16"/>
                <w:szCs w:val="16"/>
                <w:lang w:val="lt-LT"/>
              </w:rPr>
              <w:t xml:space="preserve">2018 m. kovo 28 d. </w:t>
            </w:r>
            <w:r w:rsidR="00B70406" w:rsidRPr="008048D3">
              <w:rPr>
                <w:rFonts w:ascii="Verdana" w:hAnsi="Verdana"/>
                <w:sz w:val="16"/>
                <w:szCs w:val="16"/>
                <w:lang w:val="lt-LT"/>
              </w:rPr>
              <w:t xml:space="preserve">Bendrovės </w:t>
            </w:r>
            <w:r w:rsidRPr="008048D3">
              <w:rPr>
                <w:rFonts w:ascii="Verdana" w:hAnsi="Verdana"/>
                <w:sz w:val="16"/>
                <w:szCs w:val="16"/>
                <w:lang w:val="lt-LT"/>
              </w:rPr>
              <w:t xml:space="preserve">neeilinio visuotinio akcininkų susirinkimo 1.4 darbotvarkės klausimu </w:t>
            </w:r>
            <w:r w:rsidR="00951025" w:rsidRPr="008048D3">
              <w:rPr>
                <w:rFonts w:ascii="Verdana" w:hAnsi="Verdana"/>
                <w:sz w:val="16"/>
                <w:szCs w:val="16"/>
                <w:lang w:val="lt-LT"/>
              </w:rPr>
              <w:t xml:space="preserve">priimtą </w:t>
            </w:r>
            <w:r w:rsidRPr="008048D3">
              <w:rPr>
                <w:rFonts w:ascii="Verdana" w:hAnsi="Verdana"/>
                <w:sz w:val="16"/>
                <w:szCs w:val="16"/>
                <w:lang w:val="lt-LT"/>
              </w:rPr>
              <w:t xml:space="preserve">sprendimą, pakeistą 2018 m. balandžio 30 d. eilinio visuotinio akcininkų susirinkimo sprendimu 6 darbotvarkės klausimu, didinant sprendime nurodytų kartu su viešo Bendrovės akcijų siūlymo metu siūlomų esamų akcijų, priklausančių Baltic Champs Group, UAB, skaičių nuo 20 000 000 </w:t>
            </w:r>
            <w:r w:rsidR="00B70406" w:rsidRPr="008048D3">
              <w:rPr>
                <w:rFonts w:ascii="Verdana" w:hAnsi="Verdana"/>
                <w:sz w:val="16"/>
                <w:szCs w:val="16"/>
                <w:lang w:val="lt-LT"/>
              </w:rPr>
              <w:t xml:space="preserve">Akcijų </w:t>
            </w:r>
            <w:r w:rsidRPr="008048D3">
              <w:rPr>
                <w:rFonts w:ascii="Verdana" w:hAnsi="Verdana"/>
                <w:sz w:val="16"/>
                <w:szCs w:val="16"/>
                <w:lang w:val="lt-LT"/>
              </w:rPr>
              <w:t xml:space="preserve">iki 40 000 000 </w:t>
            </w:r>
            <w:r w:rsidR="00B70406" w:rsidRPr="008048D3">
              <w:rPr>
                <w:rFonts w:ascii="Verdana" w:hAnsi="Verdana"/>
                <w:sz w:val="16"/>
                <w:szCs w:val="16"/>
                <w:lang w:val="lt-LT"/>
              </w:rPr>
              <w:t>Akcijų</w:t>
            </w:r>
            <w:r w:rsidRPr="008048D3">
              <w:rPr>
                <w:rFonts w:ascii="Verdana" w:hAnsi="Verdana"/>
                <w:sz w:val="16"/>
                <w:szCs w:val="16"/>
                <w:lang w:val="lt-LT"/>
              </w:rPr>
              <w:t xml:space="preserve">, </w:t>
            </w:r>
            <w:r w:rsidR="00B70406" w:rsidRPr="008048D3">
              <w:rPr>
                <w:rFonts w:ascii="Verdana" w:hAnsi="Verdana"/>
                <w:sz w:val="16"/>
                <w:szCs w:val="16"/>
                <w:lang w:val="lt-LT"/>
              </w:rPr>
              <w:t>kaip nurodoma sprendimo projekte</w:t>
            </w:r>
            <w:r w:rsidRPr="008048D3">
              <w:rPr>
                <w:rFonts w:ascii="Verdana" w:hAnsi="Verdana"/>
                <w:sz w:val="16"/>
                <w:szCs w:val="16"/>
                <w:lang w:val="lt-LT"/>
              </w:rPr>
              <w:t xml:space="preserve">. </w:t>
            </w:r>
            <w:r w:rsidR="00B70406" w:rsidRPr="008048D3">
              <w:rPr>
                <w:rFonts w:ascii="Verdana" w:hAnsi="Verdana"/>
                <w:sz w:val="16"/>
                <w:szCs w:val="16"/>
                <w:lang w:val="lt-LT"/>
              </w:rPr>
              <w:t>Neeiliniam visuotiniam susirinkimui siūlomas toks atitinkamo sprendimo projektas</w:t>
            </w:r>
            <w:r w:rsidRPr="008048D3">
              <w:rPr>
                <w:rFonts w:ascii="Verdana" w:hAnsi="Verdana"/>
                <w:sz w:val="16"/>
                <w:szCs w:val="16"/>
                <w:lang w:val="lt-LT"/>
              </w:rPr>
              <w:t>:</w:t>
            </w:r>
            <w:r w:rsidR="00951025" w:rsidRPr="008048D3">
              <w:rPr>
                <w:rFonts w:ascii="Verdana" w:hAnsi="Verdana"/>
                <w:sz w:val="16"/>
                <w:szCs w:val="16"/>
                <w:lang w:val="lt-LT"/>
              </w:rPr>
              <w:t xml:space="preserve"> </w:t>
            </w:r>
          </w:p>
          <w:p w14:paraId="01BA47FD" w14:textId="77777777" w:rsidR="00F05A66" w:rsidRPr="008048D3" w:rsidRDefault="00F05A66" w:rsidP="00F05A66">
            <w:pPr>
              <w:jc w:val="both"/>
              <w:rPr>
                <w:rFonts w:ascii="Verdana" w:hAnsi="Verdana"/>
                <w:sz w:val="16"/>
                <w:szCs w:val="16"/>
                <w:lang w:val="lt-LT"/>
              </w:rPr>
            </w:pPr>
          </w:p>
          <w:p w14:paraId="62686995" w14:textId="044B1382" w:rsidR="00F05A66" w:rsidRPr="008048D3" w:rsidRDefault="00F05A66" w:rsidP="00F05A66">
            <w:pPr>
              <w:jc w:val="both"/>
              <w:rPr>
                <w:rFonts w:ascii="Verdana" w:hAnsi="Verdana"/>
                <w:sz w:val="16"/>
                <w:szCs w:val="16"/>
                <w:lang w:val="lt-LT"/>
              </w:rPr>
            </w:pPr>
            <w:r w:rsidRPr="008048D3">
              <w:rPr>
                <w:rFonts w:ascii="Verdana" w:hAnsi="Verdana"/>
                <w:sz w:val="16"/>
                <w:szCs w:val="16"/>
                <w:lang w:val="lt-LT"/>
              </w:rPr>
              <w:t xml:space="preserve">1.4. </w:t>
            </w:r>
            <w:r w:rsidR="00951025" w:rsidRPr="008048D3">
              <w:rPr>
                <w:rFonts w:ascii="Verdana" w:hAnsi="Verdana"/>
                <w:iCs/>
                <w:sz w:val="16"/>
                <w:szCs w:val="16"/>
                <w:lang w:val="lt-LT"/>
              </w:rPr>
              <w:t xml:space="preserve">Nustatoma, kad 2018 m. kovo 28 d. visuotinio akcininkų susirinkimo sprendimo pagrindu naujai išleidžiamos akcijos (iki 80 000 000 naujų paprastųjų vardinių akcijų, kurių kiekvienos nominali vertė yra 0,29 EUR, toliau – Naujai išleidžiamos akcijos) turi investuotojams viešo Bendrovės akcijų siūlymo metu būti siūlomos kartu su iki 40 000 000 esamų akcijų, priklausančių Baltic Champs Group, UAB (toliau – Esančios akcijos), su sąlyga, kad Baltic Champs Group, UAB kreditoriai neprieštarauja tokiam viešam Esančių akcijų siūlymui. Bendrovės visuotinis akcininkų susirinkimas patvirtina, kad sutinka ir neprieštarauja, jog viešo siūlymo metu Esančios akcijos, priklausančios Baltic Champs Group, UAB, gali būti siūlomos kartu su Naujai išleidžiamomis akcijomis ir kad viešo siūlymo metu jokios Bendrovės akcijos, priklausančios bet kuriam kitam Bendrovės akcininkui, nebus siūlomos; jeigu kartu su Naujai išleidžiamomis akcijomis bus siūlomos ir Esančios akcijos, siūlymo proceso kaštai turės būti dengiami Bendrovės ir </w:t>
            </w:r>
            <w:r w:rsidR="005A7A5D" w:rsidRPr="008048D3">
              <w:rPr>
                <w:rFonts w:ascii="Verdana" w:hAnsi="Verdana"/>
                <w:iCs/>
                <w:sz w:val="16"/>
                <w:szCs w:val="16"/>
                <w:lang w:val="lt-LT"/>
              </w:rPr>
              <w:t>Parduodančio a</w:t>
            </w:r>
            <w:r w:rsidR="00951025" w:rsidRPr="008048D3">
              <w:rPr>
                <w:rFonts w:ascii="Verdana" w:hAnsi="Verdana"/>
                <w:iCs/>
                <w:sz w:val="16"/>
                <w:szCs w:val="16"/>
                <w:lang w:val="lt-LT"/>
              </w:rPr>
              <w:t xml:space="preserve">kcininko proporcingai parduotų atitinkamai Naujai išleidžiamų ir Esamų akcijų skaičiui. Pavesti Bendrovės valdybai nustatyti galutinę Naujai išleidžiamų akcijų emisijos kainą (kuri taip pat bus galutinė Esančių akcijų pardavimo kaina, jei taikytina) bei parengti ir nustatyti detalias siūlymo, akcijų pasirašymo, apmokėjimo bei platinimo sąlygas bei tvarką (įskaitant Esančias akcijas, jei taikytina). Bendrovės valdyba įpareigojama ir įgaliojama vadovaujantis šiuo sprendimu bei galiojančiais teisės aktais parengti, patvirtinti ir pateikti Lietuvos bankui patvirtinti akcijų (įskaitant Esančias akcijas, jei taikytina) viešo siūlymo ir įtraukimo į reguliuojamas rinkas (Varšuvos vertybinių popierių biržą ir AB </w:t>
            </w:r>
            <w:proofErr w:type="spellStart"/>
            <w:r w:rsidR="00951025" w:rsidRPr="008048D3">
              <w:rPr>
                <w:rFonts w:ascii="Verdana" w:hAnsi="Verdana"/>
                <w:iCs/>
                <w:sz w:val="16"/>
                <w:szCs w:val="16"/>
                <w:lang w:val="lt-LT"/>
              </w:rPr>
              <w:t>Nasdaq</w:t>
            </w:r>
            <w:proofErr w:type="spellEnd"/>
            <w:r w:rsidR="00951025" w:rsidRPr="008048D3">
              <w:rPr>
                <w:rFonts w:ascii="Verdana" w:hAnsi="Verdana"/>
                <w:iCs/>
                <w:sz w:val="16"/>
                <w:szCs w:val="16"/>
                <w:lang w:val="lt-LT"/>
              </w:rPr>
              <w:t xml:space="preserve"> Vilnius) prospektą.</w:t>
            </w:r>
          </w:p>
          <w:p w14:paraId="5AA76D92" w14:textId="77777777" w:rsidR="00F05A66" w:rsidRPr="008048D3" w:rsidRDefault="00F05A66" w:rsidP="00F05A66">
            <w:pPr>
              <w:jc w:val="both"/>
              <w:rPr>
                <w:rFonts w:ascii="Verdana" w:hAnsi="Verdana"/>
                <w:sz w:val="16"/>
                <w:szCs w:val="16"/>
                <w:lang w:val="lt-LT"/>
              </w:rPr>
            </w:pPr>
          </w:p>
          <w:p w14:paraId="64234EDB" w14:textId="65DDD928" w:rsidR="00F05A66" w:rsidRPr="008048D3" w:rsidRDefault="0012701C" w:rsidP="00F05A66">
            <w:pPr>
              <w:jc w:val="both"/>
              <w:rPr>
                <w:rFonts w:ascii="Verdana" w:hAnsi="Verdana"/>
                <w:sz w:val="16"/>
                <w:szCs w:val="16"/>
                <w:lang w:val="lt-LT"/>
              </w:rPr>
            </w:pPr>
            <w:r w:rsidRPr="008048D3">
              <w:rPr>
                <w:rFonts w:ascii="Verdana" w:hAnsi="Verdana"/>
                <w:sz w:val="16"/>
                <w:szCs w:val="16"/>
                <w:lang w:val="lt-LT"/>
              </w:rPr>
              <w:t>Atitinkamai</w:t>
            </w:r>
            <w:r w:rsidR="00F05A66" w:rsidRPr="008048D3">
              <w:rPr>
                <w:rFonts w:ascii="Verdana" w:hAnsi="Verdana"/>
                <w:sz w:val="16"/>
                <w:szCs w:val="16"/>
                <w:lang w:val="lt-LT"/>
              </w:rPr>
              <w:t xml:space="preserve">, </w:t>
            </w:r>
            <w:r w:rsidRPr="008048D3">
              <w:rPr>
                <w:rFonts w:ascii="Verdana" w:hAnsi="Verdana"/>
                <w:sz w:val="16"/>
                <w:szCs w:val="16"/>
                <w:lang w:val="lt-LT"/>
              </w:rPr>
              <w:t xml:space="preserve">jei minėtas 2018 m. liepos 16 d. šaukiamas neeilinis visuotinis susirinkimas </w:t>
            </w:r>
            <w:r w:rsidR="003F00C5" w:rsidRPr="008048D3">
              <w:rPr>
                <w:rFonts w:ascii="Verdana" w:hAnsi="Verdana"/>
                <w:sz w:val="16"/>
                <w:szCs w:val="16"/>
                <w:lang w:val="lt-LT"/>
              </w:rPr>
              <w:t>patvirtins šį sprendimą</w:t>
            </w:r>
            <w:r w:rsidR="00F05A66" w:rsidRPr="008048D3">
              <w:rPr>
                <w:rFonts w:ascii="Verdana" w:hAnsi="Verdana"/>
                <w:sz w:val="16"/>
                <w:szCs w:val="16"/>
                <w:lang w:val="lt-LT"/>
              </w:rPr>
              <w:t xml:space="preserve">, </w:t>
            </w:r>
            <w:r w:rsidR="003F00C5" w:rsidRPr="008048D3">
              <w:rPr>
                <w:rFonts w:ascii="Verdana" w:hAnsi="Verdana"/>
                <w:sz w:val="16"/>
                <w:szCs w:val="16"/>
                <w:lang w:val="lt-LT"/>
              </w:rPr>
              <w:t>Bendrovė parengs atitinkamą Prospekto priedą</w:t>
            </w:r>
            <w:r w:rsidR="00F05A66" w:rsidRPr="008048D3">
              <w:rPr>
                <w:rFonts w:ascii="Verdana" w:hAnsi="Verdana"/>
                <w:sz w:val="16"/>
                <w:szCs w:val="16"/>
                <w:lang w:val="lt-LT"/>
              </w:rPr>
              <w:t xml:space="preserve">, </w:t>
            </w:r>
            <w:r w:rsidR="003F00C5" w:rsidRPr="008048D3">
              <w:rPr>
                <w:rFonts w:ascii="Verdana" w:hAnsi="Verdana"/>
                <w:sz w:val="16"/>
                <w:szCs w:val="16"/>
                <w:lang w:val="lt-LT"/>
              </w:rPr>
              <w:t>kuris bus teikiamas Lietuvos bankui tvirtinti ir apie kurį bus pranešta Lenkijos finansų priežiūros institucijai</w:t>
            </w:r>
            <w:r w:rsidR="005B2C9C" w:rsidRPr="008048D3">
              <w:rPr>
                <w:rFonts w:ascii="Verdana" w:hAnsi="Verdana"/>
                <w:sz w:val="16"/>
                <w:szCs w:val="16"/>
                <w:lang w:val="lt-LT"/>
              </w:rPr>
              <w:t>,</w:t>
            </w:r>
            <w:r w:rsidR="003F00C5" w:rsidRPr="008048D3">
              <w:rPr>
                <w:rFonts w:ascii="Verdana" w:hAnsi="Verdana"/>
                <w:sz w:val="16"/>
                <w:szCs w:val="16"/>
                <w:lang w:val="lt-LT"/>
              </w:rPr>
              <w:t xml:space="preserve"> ir</w:t>
            </w:r>
            <w:r w:rsidR="00F05A66" w:rsidRPr="008048D3">
              <w:rPr>
                <w:rFonts w:ascii="Verdana" w:hAnsi="Verdana"/>
                <w:sz w:val="16"/>
                <w:szCs w:val="16"/>
                <w:lang w:val="lt-LT"/>
              </w:rPr>
              <w:t xml:space="preserve"> (</w:t>
            </w:r>
            <w:r w:rsidR="003F00C5" w:rsidRPr="008048D3">
              <w:rPr>
                <w:rFonts w:ascii="Verdana" w:hAnsi="Verdana"/>
                <w:sz w:val="16"/>
                <w:szCs w:val="16"/>
                <w:lang w:val="lt-LT"/>
              </w:rPr>
              <w:t>po tokio patvirtinimo ir pranešimo</w:t>
            </w:r>
            <w:r w:rsidR="00F05A66" w:rsidRPr="008048D3">
              <w:rPr>
                <w:rFonts w:ascii="Verdana" w:hAnsi="Verdana"/>
                <w:sz w:val="16"/>
                <w:szCs w:val="16"/>
                <w:lang w:val="lt-LT"/>
              </w:rPr>
              <w:t>)</w:t>
            </w:r>
            <w:r w:rsidR="003F00C5" w:rsidRPr="008048D3">
              <w:rPr>
                <w:rFonts w:ascii="Verdana" w:hAnsi="Verdana"/>
                <w:sz w:val="16"/>
                <w:szCs w:val="16"/>
                <w:lang w:val="lt-LT"/>
              </w:rPr>
              <w:t xml:space="preserve"> apie j</w:t>
            </w:r>
            <w:r w:rsidR="005B2C9C" w:rsidRPr="008048D3">
              <w:rPr>
                <w:rFonts w:ascii="Verdana" w:hAnsi="Verdana"/>
                <w:sz w:val="16"/>
                <w:szCs w:val="16"/>
                <w:lang w:val="lt-LT"/>
              </w:rPr>
              <w:t>į</w:t>
            </w:r>
            <w:r w:rsidR="003F00C5" w:rsidRPr="008048D3">
              <w:rPr>
                <w:rFonts w:ascii="Verdana" w:hAnsi="Verdana"/>
                <w:sz w:val="16"/>
                <w:szCs w:val="16"/>
                <w:lang w:val="lt-LT"/>
              </w:rPr>
              <w:t xml:space="preserve"> bus paskelbta tuo pačiu būdu, kaip ir apie Prospektą</w:t>
            </w:r>
            <w:r w:rsidR="00F05A66" w:rsidRPr="008048D3">
              <w:rPr>
                <w:rFonts w:ascii="Verdana" w:hAnsi="Verdana"/>
                <w:sz w:val="16"/>
                <w:szCs w:val="16"/>
                <w:lang w:val="lt-LT"/>
              </w:rPr>
              <w:t>.</w:t>
            </w:r>
          </w:p>
          <w:p w14:paraId="0F46B1EB" w14:textId="77777777" w:rsidR="00F05A66" w:rsidRPr="008048D3" w:rsidRDefault="00F05A66" w:rsidP="00D02FEC">
            <w:pPr>
              <w:pStyle w:val="KLGIPOBody"/>
              <w:spacing w:before="0" w:after="0" w:line="240" w:lineRule="auto"/>
              <w:rPr>
                <w:rFonts w:ascii="Verdana" w:eastAsia="Calibri" w:hAnsi="Verdana" w:cs="Times New Roman"/>
                <w:b/>
                <w:sz w:val="16"/>
                <w:szCs w:val="16"/>
                <w:lang w:val="lt-LT"/>
              </w:rPr>
            </w:pPr>
          </w:p>
          <w:p w14:paraId="23E2B3BF" w14:textId="7CDB9742" w:rsidR="00D02FEC" w:rsidRPr="008048D3" w:rsidRDefault="00B3129E" w:rsidP="00D02FEC">
            <w:pPr>
              <w:pStyle w:val="KLGIPOBody"/>
              <w:spacing w:before="0" w:after="0" w:line="240" w:lineRule="auto"/>
              <w:rPr>
                <w:rFonts w:ascii="Verdana" w:eastAsia="Calibri" w:hAnsi="Verdana" w:cs="Times New Roman"/>
                <w:b/>
                <w:sz w:val="16"/>
                <w:szCs w:val="16"/>
                <w:lang w:val="lt-LT"/>
              </w:rPr>
            </w:pPr>
            <w:r w:rsidRPr="008048D3">
              <w:rPr>
                <w:rFonts w:ascii="Verdana" w:eastAsia="Calibri" w:hAnsi="Verdana" w:cs="Times New Roman"/>
                <w:b/>
                <w:sz w:val="16"/>
                <w:szCs w:val="16"/>
                <w:lang w:val="lt-LT"/>
              </w:rPr>
              <w:t xml:space="preserve">Siūlymo grafikas </w:t>
            </w:r>
          </w:p>
          <w:p w14:paraId="45D5A0AB" w14:textId="77777777" w:rsidR="000A0E05" w:rsidRPr="008048D3" w:rsidRDefault="000A0E05" w:rsidP="00D02FEC">
            <w:pPr>
              <w:pStyle w:val="KLGIPOBody"/>
              <w:spacing w:before="0" w:after="0" w:line="240" w:lineRule="auto"/>
              <w:rPr>
                <w:rFonts w:ascii="Verdana" w:eastAsia="Calibri" w:hAnsi="Verdana" w:cs="Times New Roman"/>
                <w:sz w:val="16"/>
                <w:szCs w:val="16"/>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4281"/>
            </w:tblGrid>
            <w:tr w:rsidR="000A0E05" w:rsidRPr="00CD3453" w14:paraId="00DEA815" w14:textId="77777777" w:rsidTr="00517BAF">
              <w:tc>
                <w:tcPr>
                  <w:tcW w:w="2186" w:type="pct"/>
                </w:tcPr>
                <w:p w14:paraId="0F77F34B" w14:textId="0D51148A" w:rsidR="000A0E05" w:rsidRPr="008048D3" w:rsidRDefault="00B3129E" w:rsidP="000A0E05">
                  <w:pPr>
                    <w:jc w:val="both"/>
                    <w:rPr>
                      <w:rFonts w:ascii="Verdana" w:eastAsia="PMingLiU" w:hAnsi="Verdana" w:cs="Arial"/>
                      <w:color w:val="000000"/>
                      <w:sz w:val="16"/>
                      <w:szCs w:val="16"/>
                      <w:lang w:val="lt-LT"/>
                    </w:rPr>
                  </w:pPr>
                  <w:r w:rsidRPr="008048D3">
                    <w:rPr>
                      <w:rFonts w:ascii="Verdana" w:eastAsia="PMingLiU" w:hAnsi="Verdana" w:cs="Arial"/>
                      <w:color w:val="000000"/>
                      <w:sz w:val="16"/>
                      <w:szCs w:val="16"/>
                      <w:lang w:val="lt-LT"/>
                    </w:rPr>
                    <w:t>nuo</w:t>
                  </w:r>
                  <w:r w:rsidR="000A0E05" w:rsidRPr="008048D3">
                    <w:rPr>
                      <w:rFonts w:ascii="Verdana" w:eastAsia="PMingLiU" w:hAnsi="Verdana" w:cs="Arial"/>
                      <w:color w:val="000000"/>
                      <w:sz w:val="16"/>
                      <w:szCs w:val="16"/>
                      <w:lang w:val="lt-LT"/>
                    </w:rPr>
                    <w:t xml:space="preserve"> </w:t>
                  </w:r>
                  <w:r w:rsidR="002F0416" w:rsidRPr="008048D3">
                    <w:rPr>
                      <w:rFonts w:ascii="Verdana" w:eastAsia="PMingLiU" w:hAnsi="Verdana" w:cs="Arial"/>
                      <w:color w:val="000000"/>
                      <w:sz w:val="16"/>
                      <w:szCs w:val="16"/>
                      <w:lang w:val="lt-LT"/>
                    </w:rPr>
                    <w:t xml:space="preserve">2018 m. </w:t>
                  </w:r>
                  <w:r w:rsidR="008245AF" w:rsidRPr="008048D3">
                    <w:rPr>
                      <w:rFonts w:ascii="Verdana" w:eastAsia="PMingLiU" w:hAnsi="Verdana" w:cs="Arial"/>
                      <w:color w:val="000000"/>
                      <w:sz w:val="16"/>
                      <w:szCs w:val="16"/>
                      <w:lang w:val="lt-LT"/>
                    </w:rPr>
                    <w:t xml:space="preserve">liepos 3 </w:t>
                  </w:r>
                  <w:r w:rsidR="002F0416" w:rsidRPr="008048D3">
                    <w:rPr>
                      <w:rFonts w:ascii="Verdana" w:eastAsia="PMingLiU" w:hAnsi="Verdana" w:cs="Arial"/>
                      <w:color w:val="000000"/>
                      <w:sz w:val="16"/>
                      <w:szCs w:val="16"/>
                      <w:lang w:val="lt-LT"/>
                    </w:rPr>
                    <w:t xml:space="preserve">d. </w:t>
                  </w:r>
                  <w:r w:rsidR="000A0E05" w:rsidRPr="008048D3">
                    <w:rPr>
                      <w:rFonts w:ascii="Verdana" w:eastAsia="PMingLiU" w:hAnsi="Verdana" w:cs="Arial"/>
                      <w:color w:val="000000"/>
                      <w:sz w:val="16"/>
                      <w:szCs w:val="16"/>
                      <w:lang w:val="lt-LT"/>
                    </w:rPr>
                    <w:t>(9</w:t>
                  </w:r>
                  <w:r w:rsidR="002F0416" w:rsidRPr="008048D3">
                    <w:rPr>
                      <w:rFonts w:ascii="Verdana" w:eastAsia="PMingLiU" w:hAnsi="Verdana" w:cs="Arial"/>
                      <w:color w:val="000000"/>
                      <w:sz w:val="16"/>
                      <w:szCs w:val="16"/>
                      <w:lang w:val="lt-LT"/>
                    </w:rPr>
                    <w:t xml:space="preserve"> val</w:t>
                  </w:r>
                  <w:r w:rsidR="000A0E05" w:rsidRPr="008048D3">
                    <w:rPr>
                      <w:rFonts w:ascii="Verdana" w:eastAsia="PMingLiU" w:hAnsi="Verdana" w:cs="Arial"/>
                      <w:color w:val="000000"/>
                      <w:sz w:val="16"/>
                      <w:szCs w:val="16"/>
                      <w:lang w:val="lt-LT"/>
                    </w:rPr>
                    <w:t xml:space="preserve">.) </w:t>
                  </w:r>
                  <w:r w:rsidR="002F0416" w:rsidRPr="008048D3">
                    <w:rPr>
                      <w:rFonts w:ascii="Verdana" w:eastAsia="PMingLiU" w:hAnsi="Verdana" w:cs="Arial"/>
                      <w:color w:val="000000"/>
                      <w:sz w:val="16"/>
                      <w:szCs w:val="16"/>
                      <w:lang w:val="lt-LT"/>
                    </w:rPr>
                    <w:t xml:space="preserve">iki 2018 m. </w:t>
                  </w:r>
                  <w:r w:rsidR="008245AF" w:rsidRPr="008048D3">
                    <w:rPr>
                      <w:rFonts w:ascii="Verdana" w:eastAsia="PMingLiU" w:hAnsi="Verdana" w:cs="Arial"/>
                      <w:color w:val="000000"/>
                      <w:sz w:val="16"/>
                      <w:szCs w:val="16"/>
                      <w:lang w:val="lt-LT"/>
                    </w:rPr>
                    <w:t xml:space="preserve">liepos </w:t>
                  </w:r>
                  <w:r w:rsidR="002C2D69" w:rsidRPr="008048D3">
                    <w:rPr>
                      <w:rFonts w:ascii="Verdana" w:eastAsia="PMingLiU" w:hAnsi="Verdana" w:cs="Arial"/>
                      <w:color w:val="000000"/>
                      <w:sz w:val="16"/>
                      <w:szCs w:val="16"/>
                      <w:lang w:val="lt-LT"/>
                    </w:rPr>
                    <w:t>2</w:t>
                  </w:r>
                  <w:r w:rsidR="008245AF" w:rsidRPr="008048D3">
                    <w:rPr>
                      <w:rFonts w:ascii="Verdana" w:eastAsia="PMingLiU" w:hAnsi="Verdana" w:cs="Arial"/>
                      <w:color w:val="000000"/>
                      <w:sz w:val="16"/>
                      <w:szCs w:val="16"/>
                      <w:lang w:val="lt-LT"/>
                    </w:rPr>
                    <w:t>0</w:t>
                  </w:r>
                  <w:r w:rsidR="004D7060" w:rsidRPr="008048D3">
                    <w:rPr>
                      <w:rFonts w:ascii="Verdana" w:eastAsia="PMingLiU" w:hAnsi="Verdana" w:cs="Arial"/>
                      <w:color w:val="000000"/>
                      <w:sz w:val="16"/>
                      <w:szCs w:val="16"/>
                      <w:lang w:val="lt-LT"/>
                    </w:rPr>
                    <w:t> </w:t>
                  </w:r>
                  <w:r w:rsidR="002F0416" w:rsidRPr="008048D3">
                    <w:rPr>
                      <w:rFonts w:ascii="Verdana" w:eastAsia="PMingLiU" w:hAnsi="Verdana" w:cs="Arial"/>
                      <w:color w:val="000000"/>
                      <w:sz w:val="16"/>
                      <w:szCs w:val="16"/>
                      <w:lang w:val="lt-LT"/>
                    </w:rPr>
                    <w:t>d.</w:t>
                  </w:r>
                  <w:r w:rsidR="000A0E05" w:rsidRPr="008048D3">
                    <w:rPr>
                      <w:rFonts w:ascii="Verdana" w:eastAsia="PMingLiU" w:hAnsi="Verdana" w:cs="Arial"/>
                      <w:color w:val="000000"/>
                      <w:sz w:val="16"/>
                      <w:szCs w:val="16"/>
                      <w:lang w:val="lt-LT"/>
                    </w:rPr>
                    <w:t xml:space="preserve"> </w:t>
                  </w:r>
                  <w:r w:rsidR="000A0E05" w:rsidRPr="008048D3">
                    <w:rPr>
                      <w:rFonts w:ascii="Verdana" w:eastAsia="PMingLiU" w:hAnsi="Verdana" w:cs="Arial"/>
                      <w:sz w:val="16"/>
                      <w:szCs w:val="16"/>
                      <w:lang w:val="lt-LT"/>
                    </w:rPr>
                    <w:t>(</w:t>
                  </w:r>
                  <w:r w:rsidR="002F0416" w:rsidRPr="008048D3">
                    <w:rPr>
                      <w:rFonts w:ascii="Verdana" w:eastAsia="PMingLiU" w:hAnsi="Verdana" w:cs="Arial"/>
                      <w:sz w:val="16"/>
                      <w:szCs w:val="16"/>
                      <w:lang w:val="lt-LT"/>
                    </w:rPr>
                    <w:t>15 val</w:t>
                  </w:r>
                  <w:r w:rsidR="000A0E05" w:rsidRPr="008048D3">
                    <w:rPr>
                      <w:rFonts w:ascii="Verdana" w:eastAsia="PMingLiU" w:hAnsi="Verdana" w:cs="Arial"/>
                      <w:sz w:val="16"/>
                      <w:szCs w:val="16"/>
                      <w:lang w:val="lt-LT"/>
                    </w:rPr>
                    <w:t>.</w:t>
                  </w:r>
                  <w:r w:rsidR="002F0416" w:rsidRPr="008048D3">
                    <w:rPr>
                      <w:rFonts w:ascii="Verdana" w:eastAsia="PMingLiU" w:hAnsi="Verdana" w:cs="Arial"/>
                      <w:sz w:val="16"/>
                      <w:szCs w:val="16"/>
                      <w:lang w:val="lt-LT"/>
                    </w:rPr>
                    <w:t xml:space="preserve"> </w:t>
                  </w:r>
                  <w:r w:rsidR="000A0E05" w:rsidRPr="008048D3">
                    <w:rPr>
                      <w:rFonts w:ascii="Verdana" w:eastAsia="PMingLiU" w:hAnsi="Verdana" w:cs="Arial"/>
                      <w:sz w:val="16"/>
                      <w:szCs w:val="16"/>
                      <w:lang w:val="lt-LT"/>
                    </w:rPr>
                    <w:t xml:space="preserve">30 </w:t>
                  </w:r>
                  <w:r w:rsidR="002F0416" w:rsidRPr="008048D3">
                    <w:rPr>
                      <w:rFonts w:ascii="Verdana" w:eastAsia="PMingLiU" w:hAnsi="Verdana" w:cs="Arial"/>
                      <w:sz w:val="16"/>
                      <w:szCs w:val="16"/>
                      <w:lang w:val="lt-LT"/>
                    </w:rPr>
                    <w:t>min.</w:t>
                  </w:r>
                  <w:r w:rsidR="000A0E05" w:rsidRPr="008048D3">
                    <w:rPr>
                      <w:rFonts w:ascii="Verdana" w:eastAsia="PMingLiU" w:hAnsi="Verdana" w:cs="Arial"/>
                      <w:sz w:val="16"/>
                      <w:szCs w:val="16"/>
                      <w:lang w:val="lt-LT"/>
                    </w:rPr>
                    <w:t>)</w:t>
                  </w:r>
                  <w:r w:rsidR="000A0E05" w:rsidRPr="008048D3" w:rsidDel="001F4BBB">
                    <w:rPr>
                      <w:rFonts w:ascii="Verdana" w:eastAsia="PMingLiU" w:hAnsi="Verdana" w:cs="Arial"/>
                      <w:color w:val="000000"/>
                      <w:sz w:val="16"/>
                      <w:szCs w:val="16"/>
                      <w:lang w:val="lt-LT"/>
                    </w:rPr>
                    <w:t xml:space="preserve"> </w:t>
                  </w:r>
                </w:p>
              </w:tc>
              <w:tc>
                <w:tcPr>
                  <w:tcW w:w="2814" w:type="pct"/>
                </w:tcPr>
                <w:p w14:paraId="07BD3674" w14:textId="3E610C31" w:rsidR="000A0E05" w:rsidRPr="008048D3" w:rsidRDefault="006C6CFD" w:rsidP="000A0E05">
                  <w:pPr>
                    <w:jc w:val="both"/>
                    <w:rPr>
                      <w:rFonts w:ascii="Verdana" w:eastAsia="PMingLiU" w:hAnsi="Verdana" w:cs="Arial"/>
                      <w:color w:val="000000"/>
                      <w:sz w:val="16"/>
                      <w:szCs w:val="16"/>
                      <w:lang w:val="lt-LT"/>
                    </w:rPr>
                  </w:pPr>
                  <w:r w:rsidRPr="008048D3">
                    <w:rPr>
                      <w:rFonts w:ascii="Verdana" w:eastAsia="PMingLiU" w:hAnsi="Verdana" w:cs="Arial"/>
                      <w:color w:val="000000"/>
                      <w:sz w:val="16"/>
                      <w:szCs w:val="16"/>
                      <w:lang w:val="lt-LT"/>
                    </w:rPr>
                    <w:t xml:space="preserve">Pasirašymo pavedimų priėmimas iš </w:t>
                  </w:r>
                  <w:r w:rsidR="00392E87" w:rsidRPr="008048D3">
                    <w:rPr>
                      <w:rFonts w:ascii="Verdana" w:eastAsia="PMingLiU" w:hAnsi="Verdana" w:cs="Arial"/>
                      <w:color w:val="000000"/>
                      <w:sz w:val="16"/>
                      <w:szCs w:val="16"/>
                      <w:lang w:val="lt-LT"/>
                    </w:rPr>
                    <w:t xml:space="preserve">Lietuvos </w:t>
                  </w:r>
                  <w:r w:rsidRPr="008048D3">
                    <w:rPr>
                      <w:rFonts w:ascii="Verdana" w:eastAsia="PMingLiU" w:hAnsi="Verdana" w:cs="Arial"/>
                      <w:color w:val="000000"/>
                      <w:sz w:val="16"/>
                      <w:szCs w:val="16"/>
                      <w:lang w:val="lt-LT"/>
                    </w:rPr>
                    <w:t xml:space="preserve">Mažmeninių investuotojų ir </w:t>
                  </w:r>
                  <w:r w:rsidR="00392E87" w:rsidRPr="008048D3">
                    <w:rPr>
                      <w:rFonts w:ascii="Verdana" w:eastAsia="PMingLiU" w:hAnsi="Verdana" w:cs="Arial"/>
                      <w:color w:val="000000"/>
                      <w:sz w:val="16"/>
                      <w:szCs w:val="16"/>
                      <w:lang w:val="lt-LT"/>
                    </w:rPr>
                    <w:t xml:space="preserve">Mažmeninių investuotojų, dalyvaujančių Privačiame siūlyme, </w:t>
                  </w:r>
                  <w:r w:rsidRPr="008048D3">
                    <w:rPr>
                      <w:rFonts w:ascii="Verdana" w:eastAsia="PMingLiU" w:hAnsi="Verdana" w:cs="Arial"/>
                      <w:color w:val="000000"/>
                      <w:sz w:val="16"/>
                      <w:szCs w:val="16"/>
                      <w:lang w:val="lt-LT"/>
                    </w:rPr>
                    <w:t xml:space="preserve">Siūlomų akcijų apmokėjimas </w:t>
                  </w:r>
                  <w:r w:rsidR="000A0E05" w:rsidRPr="008048D3">
                    <w:rPr>
                      <w:rFonts w:ascii="Verdana" w:eastAsia="PMingLiU" w:hAnsi="Verdana" w:cs="Arial"/>
                      <w:color w:val="000000"/>
                      <w:sz w:val="16"/>
                      <w:szCs w:val="16"/>
                      <w:lang w:val="lt-LT"/>
                    </w:rPr>
                    <w:t>Ma</w:t>
                  </w:r>
                  <w:r w:rsidRPr="008048D3">
                    <w:rPr>
                      <w:rFonts w:ascii="Verdana" w:eastAsia="PMingLiU" w:hAnsi="Verdana" w:cs="Arial"/>
                      <w:color w:val="000000"/>
                      <w:sz w:val="16"/>
                      <w:szCs w:val="16"/>
                      <w:lang w:val="lt-LT"/>
                    </w:rPr>
                    <w:t>ks</w:t>
                  </w:r>
                  <w:r w:rsidR="000A0E05" w:rsidRPr="008048D3">
                    <w:rPr>
                      <w:rFonts w:ascii="Verdana" w:eastAsia="PMingLiU" w:hAnsi="Verdana" w:cs="Arial"/>
                      <w:color w:val="000000"/>
                      <w:sz w:val="16"/>
                      <w:szCs w:val="16"/>
                      <w:lang w:val="lt-LT"/>
                    </w:rPr>
                    <w:t>im</w:t>
                  </w:r>
                  <w:r w:rsidRPr="008048D3">
                    <w:rPr>
                      <w:rFonts w:ascii="Verdana" w:eastAsia="PMingLiU" w:hAnsi="Verdana" w:cs="Arial"/>
                      <w:color w:val="000000"/>
                      <w:sz w:val="16"/>
                      <w:szCs w:val="16"/>
                      <w:lang w:val="lt-LT"/>
                    </w:rPr>
                    <w:t xml:space="preserve">alia kaina </w:t>
                  </w:r>
                </w:p>
              </w:tc>
            </w:tr>
            <w:tr w:rsidR="00BF7888" w:rsidRPr="00CD3453" w14:paraId="4E2BFA13" w14:textId="77777777" w:rsidTr="00517BAF">
              <w:tc>
                <w:tcPr>
                  <w:tcW w:w="2186" w:type="pct"/>
                </w:tcPr>
                <w:p w14:paraId="78E2D9FC" w14:textId="0F3B640F" w:rsidR="00BF7888" w:rsidRPr="008048D3" w:rsidRDefault="00BF7888" w:rsidP="00BF7888">
                  <w:pPr>
                    <w:jc w:val="both"/>
                    <w:rPr>
                      <w:rFonts w:ascii="Verdana" w:eastAsia="PMingLiU" w:hAnsi="Verdana" w:cs="Arial"/>
                      <w:color w:val="000000"/>
                      <w:sz w:val="16"/>
                      <w:szCs w:val="16"/>
                      <w:lang w:val="lt-LT"/>
                    </w:rPr>
                  </w:pPr>
                  <w:r w:rsidRPr="008048D3">
                    <w:rPr>
                      <w:rFonts w:ascii="Verdana" w:eastAsia="PMingLiU" w:hAnsi="Verdana" w:cs="Arial"/>
                      <w:color w:val="000000"/>
                      <w:sz w:val="16"/>
                      <w:szCs w:val="16"/>
                      <w:lang w:val="lt-LT"/>
                    </w:rPr>
                    <w:t xml:space="preserve">nuo 2018 m. liepos 3 d. (9 val.) iki 2018 m. liepos 20 d. </w:t>
                  </w:r>
                  <w:r w:rsidRPr="008048D3">
                    <w:rPr>
                      <w:rFonts w:ascii="Verdana" w:eastAsia="PMingLiU" w:hAnsi="Verdana" w:cs="Arial"/>
                      <w:sz w:val="16"/>
                      <w:szCs w:val="16"/>
                      <w:lang w:val="lt-LT"/>
                    </w:rPr>
                    <w:t>(15 val. 30 min.)</w:t>
                  </w:r>
                  <w:r w:rsidRPr="008048D3" w:rsidDel="001F4BBB">
                    <w:rPr>
                      <w:rFonts w:ascii="Verdana" w:eastAsia="PMingLiU" w:hAnsi="Verdana" w:cs="Arial"/>
                      <w:color w:val="000000"/>
                      <w:sz w:val="16"/>
                      <w:szCs w:val="16"/>
                      <w:lang w:val="lt-LT"/>
                    </w:rPr>
                    <w:t xml:space="preserve"> </w:t>
                  </w:r>
                </w:p>
              </w:tc>
              <w:tc>
                <w:tcPr>
                  <w:tcW w:w="2814" w:type="pct"/>
                </w:tcPr>
                <w:p w14:paraId="31D186C5" w14:textId="2F28496C" w:rsidR="00BF7888" w:rsidRPr="008048D3" w:rsidRDefault="00BF7888" w:rsidP="00BF7888">
                  <w:pPr>
                    <w:jc w:val="both"/>
                    <w:rPr>
                      <w:rFonts w:ascii="Verdana" w:eastAsia="PMingLiU" w:hAnsi="Verdana" w:cs="Arial"/>
                      <w:color w:val="000000"/>
                      <w:sz w:val="16"/>
                      <w:szCs w:val="16"/>
                      <w:lang w:val="lt-LT"/>
                    </w:rPr>
                  </w:pPr>
                  <w:r w:rsidRPr="008048D3">
                    <w:rPr>
                      <w:rFonts w:ascii="Verdana" w:eastAsia="PMingLiU" w:hAnsi="Verdana" w:cs="Arial"/>
                      <w:color w:val="000000"/>
                      <w:sz w:val="16"/>
                      <w:szCs w:val="16"/>
                      <w:lang w:val="lt-LT"/>
                    </w:rPr>
                    <w:t xml:space="preserve">Pasirašymo pavedimų priėmimas iš </w:t>
                  </w:r>
                  <w:r w:rsidRPr="008048D3">
                    <w:rPr>
                      <w:rFonts w:ascii="Verdana" w:eastAsia="PMingLiU" w:hAnsi="Verdana" w:cs="Arial"/>
                      <w:color w:val="000000"/>
                      <w:sz w:val="16"/>
                      <w:szCs w:val="16"/>
                      <w:lang w:val="lt-LT" w:eastAsia="lt-LT"/>
                    </w:rPr>
                    <w:t xml:space="preserve">Institucinių investuotojų ir </w:t>
                  </w:r>
                  <w:r w:rsidRPr="008048D3">
                    <w:rPr>
                      <w:rFonts w:ascii="Verdana" w:eastAsia="PMingLiU" w:hAnsi="Verdana" w:cs="Arial"/>
                      <w:color w:val="000000"/>
                      <w:sz w:val="16"/>
                      <w:szCs w:val="16"/>
                      <w:lang w:val="lt-LT"/>
                    </w:rPr>
                    <w:t xml:space="preserve">Siūlomų akcijų apmokėjimas </w:t>
                  </w:r>
                  <w:r w:rsidRPr="008048D3">
                    <w:rPr>
                      <w:rFonts w:ascii="Verdana" w:hAnsi="Verdana"/>
                      <w:sz w:val="16"/>
                      <w:szCs w:val="16"/>
                      <w:lang w:val="lt-LT"/>
                    </w:rPr>
                    <w:t>Siūlymo kainos ribose</w:t>
                  </w:r>
                  <w:r w:rsidRPr="008048D3">
                    <w:rPr>
                      <w:rFonts w:ascii="Verdana" w:eastAsia="PMingLiU" w:hAnsi="Verdana" w:cs="Arial"/>
                      <w:color w:val="000000"/>
                      <w:sz w:val="16"/>
                      <w:szCs w:val="16"/>
                      <w:lang w:val="lt-LT"/>
                    </w:rPr>
                    <w:t xml:space="preserve"> </w:t>
                  </w:r>
                </w:p>
              </w:tc>
            </w:tr>
            <w:tr w:rsidR="00BF7888" w:rsidRPr="008048D3" w14:paraId="6151EA51" w14:textId="77777777" w:rsidTr="00517BAF">
              <w:tc>
                <w:tcPr>
                  <w:tcW w:w="2186" w:type="pct"/>
                </w:tcPr>
                <w:p w14:paraId="082581D3" w14:textId="4BF30FD5" w:rsidR="00BF7888" w:rsidRPr="008048D3" w:rsidRDefault="00BF7888" w:rsidP="00BF7888">
                  <w:pPr>
                    <w:jc w:val="both"/>
                    <w:rPr>
                      <w:rFonts w:ascii="Verdana" w:eastAsia="PMingLiU" w:hAnsi="Verdana" w:cs="Arial"/>
                      <w:color w:val="000000"/>
                      <w:sz w:val="16"/>
                      <w:szCs w:val="16"/>
                      <w:lang w:val="lt-LT"/>
                    </w:rPr>
                  </w:pPr>
                  <w:r w:rsidRPr="008048D3">
                    <w:rPr>
                      <w:rFonts w:ascii="Verdana" w:eastAsia="PMingLiU" w:hAnsi="Verdana" w:cs="Arial"/>
                      <w:color w:val="000000"/>
                      <w:sz w:val="16"/>
                      <w:szCs w:val="16"/>
                      <w:lang w:val="lt-LT"/>
                    </w:rPr>
                    <w:t xml:space="preserve">nuo 2018 m. liepos 3 d. (9 val.) iki 2018 m. liepos 20 d. </w:t>
                  </w:r>
                  <w:r w:rsidRPr="008048D3">
                    <w:rPr>
                      <w:rFonts w:ascii="Verdana" w:eastAsia="PMingLiU" w:hAnsi="Verdana" w:cs="Arial"/>
                      <w:sz w:val="16"/>
                      <w:szCs w:val="16"/>
                      <w:lang w:val="lt-LT"/>
                    </w:rPr>
                    <w:t>(15 val. 30 min.)</w:t>
                  </w:r>
                  <w:r w:rsidRPr="008048D3" w:rsidDel="001F4BBB">
                    <w:rPr>
                      <w:rFonts w:ascii="Verdana" w:eastAsia="PMingLiU" w:hAnsi="Verdana" w:cs="Arial"/>
                      <w:color w:val="000000"/>
                      <w:sz w:val="16"/>
                      <w:szCs w:val="16"/>
                      <w:lang w:val="lt-LT"/>
                    </w:rPr>
                    <w:t xml:space="preserve"> </w:t>
                  </w:r>
                </w:p>
              </w:tc>
              <w:tc>
                <w:tcPr>
                  <w:tcW w:w="2814" w:type="pct"/>
                </w:tcPr>
                <w:p w14:paraId="21F223BE" w14:textId="2611C3C2" w:rsidR="00BF7888" w:rsidRPr="008048D3" w:rsidRDefault="00BF7888" w:rsidP="00BF7888">
                  <w:pPr>
                    <w:jc w:val="both"/>
                    <w:rPr>
                      <w:rFonts w:ascii="Verdana" w:eastAsia="PMingLiU" w:hAnsi="Verdana" w:cs="Arial"/>
                      <w:color w:val="000000"/>
                      <w:sz w:val="16"/>
                      <w:szCs w:val="16"/>
                      <w:lang w:val="lt-LT"/>
                    </w:rPr>
                  </w:pPr>
                  <w:bookmarkStart w:id="3" w:name="_Hlk512591777"/>
                  <w:r w:rsidRPr="008048D3">
                    <w:rPr>
                      <w:rFonts w:ascii="Verdana" w:eastAsia="PMingLiU" w:hAnsi="Verdana" w:cs="Arial"/>
                      <w:color w:val="000000"/>
                      <w:sz w:val="16"/>
                      <w:szCs w:val="16"/>
                      <w:lang w:val="lt-LT"/>
                    </w:rPr>
                    <w:t xml:space="preserve">Institucinių investuotojų orientacinių paraiškų priėmimo laikotarpis  </w:t>
                  </w:r>
                  <w:bookmarkEnd w:id="3"/>
                </w:p>
              </w:tc>
            </w:tr>
            <w:tr w:rsidR="000A0E05" w:rsidRPr="00CD3453" w14:paraId="65232F8D" w14:textId="77777777" w:rsidTr="00517BAF">
              <w:tc>
                <w:tcPr>
                  <w:tcW w:w="2186" w:type="pct"/>
                </w:tcPr>
                <w:p w14:paraId="1E970B68" w14:textId="631FC9F1" w:rsidR="000A0E05" w:rsidRPr="008048D3" w:rsidRDefault="000A0E05" w:rsidP="000A0E05">
                  <w:pPr>
                    <w:jc w:val="both"/>
                    <w:rPr>
                      <w:rFonts w:ascii="Verdana" w:eastAsia="PMingLiU" w:hAnsi="Verdana" w:cs="Arial"/>
                      <w:color w:val="000000"/>
                      <w:sz w:val="16"/>
                      <w:szCs w:val="16"/>
                      <w:lang w:val="lt-LT"/>
                    </w:rPr>
                  </w:pPr>
                  <w:r w:rsidRPr="008048D3">
                    <w:rPr>
                      <w:rFonts w:ascii="Verdana" w:eastAsia="PMingLiU" w:hAnsi="Verdana" w:cs="Arial"/>
                      <w:color w:val="000000"/>
                      <w:sz w:val="16"/>
                      <w:szCs w:val="16"/>
                      <w:lang w:val="lt-LT"/>
                    </w:rPr>
                    <w:t>2018</w:t>
                  </w:r>
                  <w:r w:rsidR="00B3129E" w:rsidRPr="008048D3">
                    <w:rPr>
                      <w:rFonts w:ascii="Verdana" w:eastAsia="PMingLiU" w:hAnsi="Verdana" w:cs="Arial"/>
                      <w:color w:val="000000"/>
                      <w:sz w:val="16"/>
                      <w:szCs w:val="16"/>
                      <w:lang w:val="lt-LT"/>
                    </w:rPr>
                    <w:t xml:space="preserve"> m. </w:t>
                  </w:r>
                  <w:r w:rsidR="00BF7888" w:rsidRPr="008048D3">
                    <w:rPr>
                      <w:rFonts w:ascii="Verdana" w:eastAsia="PMingLiU" w:hAnsi="Verdana" w:cs="Arial"/>
                      <w:color w:val="000000"/>
                      <w:sz w:val="16"/>
                      <w:szCs w:val="16"/>
                      <w:lang w:val="lt-LT"/>
                    </w:rPr>
                    <w:t xml:space="preserve">liepos </w:t>
                  </w:r>
                  <w:r w:rsidR="00392E87" w:rsidRPr="008048D3">
                    <w:rPr>
                      <w:rFonts w:ascii="Verdana" w:eastAsia="PMingLiU" w:hAnsi="Verdana" w:cs="Arial"/>
                      <w:color w:val="000000"/>
                      <w:sz w:val="16"/>
                      <w:szCs w:val="16"/>
                      <w:lang w:val="lt-LT"/>
                    </w:rPr>
                    <w:t>2</w:t>
                  </w:r>
                  <w:r w:rsidR="00BF7888" w:rsidRPr="008048D3">
                    <w:rPr>
                      <w:rFonts w:ascii="Verdana" w:eastAsia="PMingLiU" w:hAnsi="Verdana" w:cs="Arial"/>
                      <w:color w:val="000000"/>
                      <w:sz w:val="16"/>
                      <w:szCs w:val="16"/>
                      <w:lang w:val="lt-LT"/>
                    </w:rPr>
                    <w:t>3</w:t>
                  </w:r>
                  <w:r w:rsidR="00B3129E" w:rsidRPr="008048D3">
                    <w:rPr>
                      <w:rFonts w:ascii="Verdana" w:eastAsia="PMingLiU" w:hAnsi="Verdana" w:cs="Arial"/>
                      <w:color w:val="000000"/>
                      <w:sz w:val="16"/>
                      <w:szCs w:val="16"/>
                      <w:lang w:val="lt-LT"/>
                    </w:rPr>
                    <w:t xml:space="preserve"> d. arba apie šią datą</w:t>
                  </w:r>
                </w:p>
              </w:tc>
              <w:tc>
                <w:tcPr>
                  <w:tcW w:w="2814" w:type="pct"/>
                </w:tcPr>
                <w:p w14:paraId="239D506D" w14:textId="6747134A" w:rsidR="000A0E05" w:rsidRPr="008048D3" w:rsidRDefault="00014CA9" w:rsidP="000A0E05">
                  <w:pPr>
                    <w:autoSpaceDE w:val="0"/>
                    <w:autoSpaceDN w:val="0"/>
                    <w:adjustRightInd w:val="0"/>
                    <w:jc w:val="both"/>
                    <w:rPr>
                      <w:rFonts w:ascii="Verdana" w:eastAsia="PMingLiU" w:hAnsi="Verdana" w:cs="Arial"/>
                      <w:color w:val="000000"/>
                      <w:sz w:val="16"/>
                      <w:szCs w:val="16"/>
                      <w:lang w:val="lt-LT" w:eastAsia="lt-LT"/>
                    </w:rPr>
                  </w:pPr>
                  <w:r w:rsidRPr="008048D3">
                    <w:rPr>
                      <w:rFonts w:ascii="Verdana" w:eastAsia="PMingLiU" w:hAnsi="Verdana" w:cs="Arial"/>
                      <w:color w:val="000000"/>
                      <w:sz w:val="16"/>
                      <w:szCs w:val="16"/>
                      <w:lang w:val="lt-LT" w:eastAsia="lt-LT"/>
                    </w:rPr>
                    <w:t>Galutinio Siūlomų akcijų skaičiaus</w:t>
                  </w:r>
                  <w:r w:rsidR="000A0E05" w:rsidRPr="008048D3">
                    <w:rPr>
                      <w:rFonts w:ascii="Verdana" w:eastAsia="PMingLiU" w:hAnsi="Verdana" w:cs="Arial"/>
                      <w:color w:val="000000"/>
                      <w:sz w:val="16"/>
                      <w:szCs w:val="16"/>
                      <w:lang w:val="lt-LT" w:eastAsia="lt-LT"/>
                    </w:rPr>
                    <w:t xml:space="preserve">, </w:t>
                  </w:r>
                  <w:r w:rsidRPr="008048D3">
                    <w:rPr>
                      <w:rFonts w:ascii="Verdana" w:hAnsi="Verdana"/>
                      <w:sz w:val="16"/>
                      <w:szCs w:val="16"/>
                      <w:lang w:val="lt-LT"/>
                    </w:rPr>
                    <w:t xml:space="preserve">Siūlymo kainos ir paskirstymo tarp </w:t>
                  </w:r>
                  <w:r w:rsidRPr="008048D3">
                    <w:rPr>
                      <w:rFonts w:ascii="Verdana" w:eastAsia="PMingLiU" w:hAnsi="Verdana" w:cs="Arial"/>
                      <w:color w:val="000000"/>
                      <w:sz w:val="16"/>
                      <w:szCs w:val="16"/>
                      <w:lang w:val="lt-LT"/>
                    </w:rPr>
                    <w:t xml:space="preserve">Mažmeninių ir </w:t>
                  </w:r>
                  <w:r w:rsidRPr="008048D3">
                    <w:rPr>
                      <w:rFonts w:ascii="Verdana" w:eastAsia="PMingLiU" w:hAnsi="Verdana" w:cs="Arial"/>
                      <w:color w:val="000000"/>
                      <w:sz w:val="16"/>
                      <w:szCs w:val="16"/>
                      <w:lang w:val="lt-LT" w:eastAsia="lt-LT"/>
                    </w:rPr>
                    <w:t xml:space="preserve">Institucinių investuotojų nustatymas ir paskelbimas </w:t>
                  </w:r>
                  <w:r w:rsidR="000A0E05" w:rsidRPr="008048D3">
                    <w:rPr>
                      <w:rFonts w:ascii="Verdana" w:eastAsia="PMingLiU" w:hAnsi="Verdana" w:cs="Arial"/>
                      <w:color w:val="000000"/>
                      <w:sz w:val="16"/>
                      <w:szCs w:val="16"/>
                      <w:lang w:val="lt-LT" w:eastAsia="lt-LT"/>
                    </w:rPr>
                    <w:t>(</w:t>
                  </w:r>
                  <w:r w:rsidRPr="008048D3">
                    <w:rPr>
                      <w:rFonts w:ascii="Verdana" w:eastAsia="PMingLiU" w:hAnsi="Verdana" w:cs="Arial"/>
                      <w:color w:val="000000"/>
                      <w:sz w:val="16"/>
                      <w:szCs w:val="16"/>
                      <w:lang w:val="lt-LT" w:eastAsia="lt-LT"/>
                    </w:rPr>
                    <w:t xml:space="preserve">toliau – </w:t>
                  </w:r>
                  <w:r w:rsidRPr="008048D3">
                    <w:rPr>
                      <w:rFonts w:ascii="Verdana" w:eastAsia="PMingLiU" w:hAnsi="Verdana" w:cs="Arial"/>
                      <w:b/>
                      <w:color w:val="000000"/>
                      <w:sz w:val="16"/>
                      <w:szCs w:val="16"/>
                      <w:lang w:val="lt-LT" w:eastAsia="lt-LT"/>
                    </w:rPr>
                    <w:t>Paskirstymo diena</w:t>
                  </w:r>
                  <w:r w:rsidR="000A0E05" w:rsidRPr="008048D3">
                    <w:rPr>
                      <w:rFonts w:ascii="Verdana" w:eastAsia="PMingLiU" w:hAnsi="Verdana" w:cs="Arial"/>
                      <w:color w:val="000000"/>
                      <w:sz w:val="16"/>
                      <w:szCs w:val="16"/>
                      <w:lang w:val="lt-LT" w:eastAsia="lt-LT"/>
                    </w:rPr>
                    <w:t>)</w:t>
                  </w:r>
                </w:p>
              </w:tc>
            </w:tr>
            <w:tr w:rsidR="000A0E05" w:rsidRPr="008048D3" w14:paraId="278A8DCE" w14:textId="77777777" w:rsidTr="00517BAF">
              <w:tc>
                <w:tcPr>
                  <w:tcW w:w="2186" w:type="pct"/>
                </w:tcPr>
                <w:p w14:paraId="11E418C8" w14:textId="55930D3F" w:rsidR="000A0E05" w:rsidRPr="008048D3" w:rsidRDefault="00B3129E" w:rsidP="000A0E05">
                  <w:pPr>
                    <w:jc w:val="both"/>
                    <w:rPr>
                      <w:rFonts w:ascii="Verdana" w:eastAsia="PMingLiU" w:hAnsi="Verdana" w:cs="Arial"/>
                      <w:color w:val="000000"/>
                      <w:sz w:val="16"/>
                      <w:szCs w:val="16"/>
                      <w:lang w:val="lt-LT"/>
                    </w:rPr>
                  </w:pPr>
                  <w:r w:rsidRPr="008048D3">
                    <w:rPr>
                      <w:rFonts w:ascii="Verdana" w:eastAsia="PMingLiU" w:hAnsi="Verdana" w:cs="Arial"/>
                      <w:color w:val="000000"/>
                      <w:sz w:val="16"/>
                      <w:szCs w:val="16"/>
                      <w:lang w:val="lt-LT"/>
                    </w:rPr>
                    <w:t xml:space="preserve">2018 m. </w:t>
                  </w:r>
                  <w:r w:rsidR="00392E87" w:rsidRPr="008048D3">
                    <w:rPr>
                      <w:rFonts w:ascii="Verdana" w:eastAsia="PMingLiU" w:hAnsi="Verdana" w:cs="Arial"/>
                      <w:color w:val="000000"/>
                      <w:sz w:val="16"/>
                      <w:szCs w:val="16"/>
                      <w:lang w:val="lt-LT"/>
                    </w:rPr>
                    <w:t>liepos 2</w:t>
                  </w:r>
                  <w:r w:rsidR="00BF7888" w:rsidRPr="008048D3">
                    <w:rPr>
                      <w:rFonts w:ascii="Verdana" w:eastAsia="PMingLiU" w:hAnsi="Verdana" w:cs="Arial"/>
                      <w:color w:val="000000"/>
                      <w:sz w:val="16"/>
                      <w:szCs w:val="16"/>
                      <w:lang w:val="lt-LT"/>
                    </w:rPr>
                    <w:t>6</w:t>
                  </w:r>
                  <w:r w:rsidR="00392E87" w:rsidRPr="008048D3">
                    <w:rPr>
                      <w:rFonts w:ascii="Verdana" w:eastAsia="PMingLiU" w:hAnsi="Verdana" w:cs="Arial"/>
                      <w:color w:val="000000"/>
                      <w:sz w:val="16"/>
                      <w:szCs w:val="16"/>
                      <w:lang w:val="lt-LT"/>
                    </w:rPr>
                    <w:t xml:space="preserve"> </w:t>
                  </w:r>
                  <w:r w:rsidRPr="008048D3">
                    <w:rPr>
                      <w:rFonts w:ascii="Verdana" w:eastAsia="PMingLiU" w:hAnsi="Verdana" w:cs="Arial"/>
                      <w:color w:val="000000"/>
                      <w:sz w:val="16"/>
                      <w:szCs w:val="16"/>
                      <w:lang w:val="lt-LT"/>
                    </w:rPr>
                    <w:t xml:space="preserve">d. arba apie šią datą </w:t>
                  </w:r>
                </w:p>
              </w:tc>
              <w:tc>
                <w:tcPr>
                  <w:tcW w:w="2814" w:type="pct"/>
                </w:tcPr>
                <w:p w14:paraId="76975AFD" w14:textId="4878552B" w:rsidR="000A0E05" w:rsidRPr="008048D3" w:rsidRDefault="00014CA9" w:rsidP="000A0E05">
                  <w:pPr>
                    <w:jc w:val="both"/>
                    <w:rPr>
                      <w:rFonts w:ascii="Verdana" w:eastAsia="PMingLiU" w:hAnsi="Verdana" w:cs="Arial"/>
                      <w:color w:val="000000"/>
                      <w:sz w:val="16"/>
                      <w:szCs w:val="16"/>
                      <w:lang w:val="lt-LT"/>
                    </w:rPr>
                  </w:pPr>
                  <w:r w:rsidRPr="008048D3">
                    <w:rPr>
                      <w:rFonts w:ascii="Verdana" w:eastAsia="ArialNarrow" w:hAnsi="Verdana" w:cs="Arial"/>
                      <w:sz w:val="16"/>
                      <w:szCs w:val="16"/>
                      <w:lang w:val="lt-LT"/>
                    </w:rPr>
                    <w:t xml:space="preserve">Siūlomų akcijų pateikimas Investuotojams ir Siūlymo užbaigimas </w:t>
                  </w:r>
                  <w:r w:rsidR="000A0E05" w:rsidRPr="008048D3">
                    <w:rPr>
                      <w:rFonts w:ascii="Verdana" w:eastAsia="ArialNarrow" w:hAnsi="Verdana" w:cs="Arial"/>
                      <w:sz w:val="16"/>
                      <w:szCs w:val="16"/>
                      <w:lang w:val="lt-LT"/>
                    </w:rPr>
                    <w:t>(</w:t>
                  </w:r>
                  <w:r w:rsidRPr="008048D3">
                    <w:rPr>
                      <w:rFonts w:ascii="Verdana" w:eastAsia="ArialNarrow" w:hAnsi="Verdana" w:cs="Arial"/>
                      <w:sz w:val="16"/>
                      <w:szCs w:val="16"/>
                      <w:lang w:val="lt-LT"/>
                    </w:rPr>
                    <w:t xml:space="preserve">toliau – </w:t>
                  </w:r>
                  <w:r w:rsidRPr="008048D3">
                    <w:rPr>
                      <w:rFonts w:ascii="Verdana" w:eastAsia="ArialNarrow" w:hAnsi="Verdana" w:cs="Arial"/>
                      <w:b/>
                      <w:sz w:val="16"/>
                      <w:szCs w:val="16"/>
                      <w:lang w:val="lt-LT"/>
                    </w:rPr>
                    <w:t>Atsiskaitymo diena</w:t>
                  </w:r>
                  <w:r w:rsidR="000A0E05" w:rsidRPr="008048D3">
                    <w:rPr>
                      <w:rFonts w:ascii="Verdana" w:eastAsia="ArialNarrow" w:hAnsi="Verdana" w:cs="Arial"/>
                      <w:sz w:val="16"/>
                      <w:szCs w:val="16"/>
                      <w:lang w:val="lt-LT"/>
                    </w:rPr>
                    <w:t>)</w:t>
                  </w:r>
                </w:p>
              </w:tc>
            </w:tr>
            <w:tr w:rsidR="00B3129E" w:rsidRPr="008048D3" w14:paraId="77D0196F" w14:textId="77777777" w:rsidTr="00517BAF">
              <w:trPr>
                <w:trHeight w:val="70"/>
              </w:trPr>
              <w:tc>
                <w:tcPr>
                  <w:tcW w:w="2186" w:type="pct"/>
                </w:tcPr>
                <w:p w14:paraId="096ECEE9" w14:textId="087E64C3" w:rsidR="00B3129E" w:rsidRPr="008048D3" w:rsidRDefault="00B3129E" w:rsidP="00B3129E">
                  <w:pPr>
                    <w:jc w:val="both"/>
                    <w:rPr>
                      <w:rFonts w:ascii="Verdana" w:eastAsia="PMingLiU" w:hAnsi="Verdana" w:cs="Arial"/>
                      <w:color w:val="000000"/>
                      <w:sz w:val="16"/>
                      <w:szCs w:val="16"/>
                      <w:lang w:val="lt-LT"/>
                    </w:rPr>
                  </w:pPr>
                  <w:r w:rsidRPr="008048D3">
                    <w:rPr>
                      <w:rFonts w:ascii="Verdana" w:eastAsia="PMingLiU" w:hAnsi="Verdana" w:cs="Arial"/>
                      <w:color w:val="000000"/>
                      <w:sz w:val="16"/>
                      <w:szCs w:val="16"/>
                      <w:lang w:val="lt-LT"/>
                    </w:rPr>
                    <w:t xml:space="preserve">2018 m. </w:t>
                  </w:r>
                  <w:r w:rsidR="00BF7888" w:rsidRPr="008048D3">
                    <w:rPr>
                      <w:rFonts w:ascii="Verdana" w:eastAsia="PMingLiU" w:hAnsi="Verdana" w:cs="Arial"/>
                      <w:color w:val="000000"/>
                      <w:sz w:val="16"/>
                      <w:szCs w:val="16"/>
                      <w:lang w:val="lt-LT"/>
                    </w:rPr>
                    <w:t>rugpjūčio 3 d. arba apie šią datą</w:t>
                  </w:r>
                </w:p>
              </w:tc>
              <w:tc>
                <w:tcPr>
                  <w:tcW w:w="2814" w:type="pct"/>
                </w:tcPr>
                <w:p w14:paraId="7B048786" w14:textId="7BB894E3" w:rsidR="00B3129E" w:rsidRPr="008048D3" w:rsidRDefault="00014CA9" w:rsidP="00B3129E">
                  <w:pPr>
                    <w:jc w:val="both"/>
                    <w:rPr>
                      <w:rFonts w:ascii="Verdana" w:eastAsia="PMingLiU" w:hAnsi="Verdana" w:cs="Arial"/>
                      <w:color w:val="000000"/>
                      <w:sz w:val="16"/>
                      <w:szCs w:val="16"/>
                      <w:lang w:val="lt-LT"/>
                    </w:rPr>
                  </w:pPr>
                  <w:r w:rsidRPr="008048D3">
                    <w:rPr>
                      <w:rFonts w:ascii="Verdana" w:eastAsia="PMingLiU" w:hAnsi="Verdana" w:cs="Arial"/>
                      <w:color w:val="000000"/>
                      <w:sz w:val="16"/>
                      <w:szCs w:val="16"/>
                      <w:lang w:val="lt-LT"/>
                    </w:rPr>
                    <w:t xml:space="preserve">Tikimasi, kad Naujomis akcijomis bus pradėta prekiauti </w:t>
                  </w:r>
                  <w:proofErr w:type="spellStart"/>
                  <w:r w:rsidR="00B3129E" w:rsidRPr="008048D3">
                    <w:rPr>
                      <w:rFonts w:ascii="Verdana" w:eastAsia="PMingLiU" w:hAnsi="Verdana" w:cs="Arial"/>
                      <w:color w:val="000000"/>
                      <w:sz w:val="16"/>
                      <w:szCs w:val="16"/>
                      <w:lang w:val="lt-LT"/>
                    </w:rPr>
                    <w:t>Nasdaq</w:t>
                  </w:r>
                  <w:proofErr w:type="spellEnd"/>
                  <w:r w:rsidR="00B3129E" w:rsidRPr="008048D3">
                    <w:rPr>
                      <w:rFonts w:ascii="Verdana" w:eastAsia="PMingLiU" w:hAnsi="Verdana" w:cs="Arial"/>
                      <w:color w:val="000000"/>
                      <w:sz w:val="16"/>
                      <w:szCs w:val="16"/>
                      <w:lang w:val="lt-LT"/>
                    </w:rPr>
                    <w:t xml:space="preserve"> Vilnius </w:t>
                  </w:r>
                  <w:r w:rsidRPr="008048D3">
                    <w:rPr>
                      <w:rFonts w:ascii="Verdana" w:eastAsia="PMingLiU" w:hAnsi="Verdana" w:cs="Arial"/>
                      <w:color w:val="000000"/>
                      <w:sz w:val="16"/>
                      <w:szCs w:val="16"/>
                      <w:lang w:val="lt-LT"/>
                    </w:rPr>
                    <w:t xml:space="preserve">ir </w:t>
                  </w:r>
                  <w:r w:rsidR="00B3129E" w:rsidRPr="008048D3">
                    <w:rPr>
                      <w:rFonts w:ascii="Verdana" w:eastAsia="PMingLiU" w:hAnsi="Verdana" w:cs="Arial"/>
                      <w:color w:val="000000"/>
                      <w:sz w:val="16"/>
                      <w:szCs w:val="16"/>
                      <w:lang w:val="lt-LT"/>
                    </w:rPr>
                    <w:t>WSE</w:t>
                  </w:r>
                </w:p>
              </w:tc>
            </w:tr>
          </w:tbl>
          <w:p w14:paraId="056CBDF9" w14:textId="77777777" w:rsidR="000A0E05" w:rsidRPr="008048D3" w:rsidRDefault="000A0E05" w:rsidP="000A0E05">
            <w:pPr>
              <w:jc w:val="both"/>
              <w:rPr>
                <w:rFonts w:ascii="Verdana" w:eastAsia="PMingLiU" w:hAnsi="Verdana" w:cs="Arial"/>
                <w:color w:val="000000"/>
                <w:sz w:val="16"/>
                <w:szCs w:val="16"/>
                <w:lang w:val="lt-LT"/>
              </w:rPr>
            </w:pPr>
          </w:p>
          <w:p w14:paraId="0D7056E1" w14:textId="5FD1C372" w:rsidR="00EF7B20" w:rsidRPr="008048D3" w:rsidRDefault="00EF7B20" w:rsidP="000A0E05">
            <w:pPr>
              <w:jc w:val="both"/>
              <w:rPr>
                <w:rFonts w:ascii="Verdana" w:eastAsia="PMingLiU" w:hAnsi="Verdana" w:cs="Arial"/>
                <w:color w:val="000000"/>
                <w:sz w:val="16"/>
                <w:szCs w:val="16"/>
                <w:lang w:val="lt-LT"/>
              </w:rPr>
            </w:pPr>
            <w:r w:rsidRPr="008048D3">
              <w:rPr>
                <w:rFonts w:ascii="Verdana" w:eastAsia="PMingLiU" w:hAnsi="Verdana" w:cs="Arial"/>
                <w:color w:val="000000"/>
                <w:sz w:val="16"/>
                <w:szCs w:val="16"/>
                <w:lang w:val="lt-LT"/>
              </w:rPr>
              <w:t>Visi nurodyti laikai reiškia vietinį Lietuvos laiką.</w:t>
            </w:r>
          </w:p>
          <w:p w14:paraId="0D43CC2D" w14:textId="77777777" w:rsidR="00EF7B20" w:rsidRPr="008048D3" w:rsidRDefault="00EF7B20" w:rsidP="000A0E05">
            <w:pPr>
              <w:jc w:val="both"/>
              <w:rPr>
                <w:rFonts w:ascii="Verdana" w:eastAsia="PMingLiU" w:hAnsi="Verdana" w:cs="Arial"/>
                <w:color w:val="000000"/>
                <w:sz w:val="16"/>
                <w:szCs w:val="16"/>
                <w:lang w:val="lt-LT"/>
              </w:rPr>
            </w:pPr>
          </w:p>
          <w:p w14:paraId="37C0BCAB" w14:textId="47E73F33" w:rsidR="000A0E05" w:rsidRPr="008048D3" w:rsidRDefault="009138A6" w:rsidP="000A0E05">
            <w:pPr>
              <w:jc w:val="both"/>
              <w:rPr>
                <w:rFonts w:ascii="Verdana" w:eastAsia="PMingLiU" w:hAnsi="Verdana" w:cs="Arial"/>
                <w:color w:val="000000"/>
                <w:sz w:val="16"/>
                <w:szCs w:val="16"/>
                <w:lang w:val="lt-LT"/>
              </w:rPr>
            </w:pPr>
            <w:r w:rsidRPr="008048D3">
              <w:rPr>
                <w:rFonts w:ascii="Verdana" w:eastAsia="PMingLiU" w:hAnsi="Verdana" w:cs="Arial"/>
                <w:color w:val="000000"/>
                <w:sz w:val="16"/>
                <w:szCs w:val="16"/>
                <w:lang w:val="lt-LT"/>
              </w:rPr>
              <w:t>Emitentas gali koreguoti šiame grafike nurodytus laikus ir datas</w:t>
            </w:r>
            <w:r w:rsidR="000A0E05" w:rsidRPr="008048D3">
              <w:rPr>
                <w:rFonts w:ascii="Verdana" w:eastAsia="PMingLiU" w:hAnsi="Verdana" w:cs="Arial"/>
                <w:color w:val="000000"/>
                <w:sz w:val="16"/>
                <w:szCs w:val="16"/>
                <w:lang w:val="lt-LT"/>
              </w:rPr>
              <w:t xml:space="preserve"> </w:t>
            </w:r>
            <w:r w:rsidRPr="008048D3">
              <w:rPr>
                <w:rFonts w:ascii="Verdana" w:eastAsia="PMingLiU" w:hAnsi="Verdana" w:cs="Arial"/>
                <w:color w:val="000000"/>
                <w:sz w:val="16"/>
                <w:szCs w:val="16"/>
                <w:lang w:val="lt-LT"/>
              </w:rPr>
              <w:t xml:space="preserve">pasitaręs su </w:t>
            </w:r>
            <w:r w:rsidRPr="008048D3">
              <w:rPr>
                <w:rFonts w:ascii="Verdana" w:hAnsi="Verdana" w:cs="Arial"/>
                <w:sz w:val="16"/>
                <w:szCs w:val="16"/>
                <w:lang w:val="lt-LT"/>
              </w:rPr>
              <w:t>Pasauliniu pagrindiniu platintoju</w:t>
            </w:r>
            <w:r w:rsidR="000A0E05" w:rsidRPr="008048D3">
              <w:rPr>
                <w:rFonts w:ascii="Verdana" w:eastAsia="PMingLiU" w:hAnsi="Verdana" w:cs="Arial"/>
                <w:color w:val="000000"/>
                <w:sz w:val="16"/>
                <w:szCs w:val="16"/>
                <w:lang w:val="lt-LT"/>
              </w:rPr>
              <w:t xml:space="preserve">, </w:t>
            </w:r>
            <w:r w:rsidRPr="008048D3">
              <w:rPr>
                <w:rFonts w:ascii="Verdana" w:eastAsia="PMingLiU" w:hAnsi="Verdana" w:cs="Arial"/>
                <w:color w:val="000000"/>
                <w:sz w:val="16"/>
                <w:szCs w:val="16"/>
                <w:lang w:val="lt-LT"/>
              </w:rPr>
              <w:t>jei tai atrodo būtina sėkminga</w:t>
            </w:r>
            <w:r w:rsidR="004D7060" w:rsidRPr="008048D3">
              <w:rPr>
                <w:rFonts w:ascii="Verdana" w:eastAsia="PMingLiU" w:hAnsi="Verdana" w:cs="Arial"/>
                <w:color w:val="000000"/>
                <w:sz w:val="16"/>
                <w:szCs w:val="16"/>
                <w:lang w:val="lt-LT"/>
              </w:rPr>
              <w:t>m</w:t>
            </w:r>
            <w:r w:rsidRPr="008048D3">
              <w:rPr>
                <w:rFonts w:ascii="Verdana" w:eastAsia="PMingLiU" w:hAnsi="Verdana" w:cs="Arial"/>
                <w:color w:val="000000"/>
                <w:sz w:val="16"/>
                <w:szCs w:val="16"/>
                <w:lang w:val="lt-LT"/>
              </w:rPr>
              <w:t xml:space="preserve"> Siūlymo ir Įtraukimo į prekybą užbaigimui</w:t>
            </w:r>
            <w:r w:rsidR="000A0E05" w:rsidRPr="008048D3">
              <w:rPr>
                <w:rFonts w:ascii="Verdana" w:eastAsia="PMingLiU" w:hAnsi="Verdana" w:cs="Arial"/>
                <w:color w:val="000000"/>
                <w:sz w:val="16"/>
                <w:szCs w:val="16"/>
                <w:lang w:val="lt-LT"/>
              </w:rPr>
              <w:t xml:space="preserve">. </w:t>
            </w:r>
            <w:r w:rsidR="00E44EB4" w:rsidRPr="008048D3">
              <w:rPr>
                <w:rFonts w:ascii="Verdana" w:eastAsia="PMingLiU" w:hAnsi="Verdana" w:cs="Arial"/>
                <w:color w:val="000000"/>
                <w:sz w:val="16"/>
                <w:szCs w:val="16"/>
                <w:lang w:val="lt-LT"/>
              </w:rPr>
              <w:t xml:space="preserve">O ypač Emitentas, rekomendavus </w:t>
            </w:r>
            <w:r w:rsidR="00E44EB4" w:rsidRPr="008048D3">
              <w:rPr>
                <w:rFonts w:ascii="Verdana" w:hAnsi="Verdana" w:cs="Arial"/>
                <w:sz w:val="16"/>
                <w:szCs w:val="16"/>
                <w:lang w:val="lt-LT"/>
              </w:rPr>
              <w:t>Pasauliniam pagrindiniam platintojui</w:t>
            </w:r>
            <w:r w:rsidR="000A0E05" w:rsidRPr="008048D3">
              <w:rPr>
                <w:rFonts w:ascii="Verdana" w:eastAsia="PMingLiU" w:hAnsi="Verdana" w:cs="Arial"/>
                <w:color w:val="000000"/>
                <w:sz w:val="16"/>
                <w:szCs w:val="16"/>
                <w:lang w:val="lt-LT"/>
              </w:rPr>
              <w:t xml:space="preserve">, </w:t>
            </w:r>
            <w:r w:rsidR="00E44EB4" w:rsidRPr="008048D3">
              <w:rPr>
                <w:rFonts w:ascii="Verdana" w:eastAsia="PMingLiU" w:hAnsi="Verdana" w:cs="Arial"/>
                <w:color w:val="000000"/>
                <w:sz w:val="16"/>
                <w:szCs w:val="16"/>
                <w:lang w:val="lt-LT"/>
              </w:rPr>
              <w:t>gali pratęsti Siūlomų akcijų pasirašymo laikotarpį</w:t>
            </w:r>
            <w:r w:rsidR="000A0E05" w:rsidRPr="008048D3">
              <w:rPr>
                <w:rFonts w:ascii="Verdana" w:eastAsia="PMingLiU" w:hAnsi="Verdana" w:cs="Arial"/>
                <w:color w:val="000000"/>
                <w:sz w:val="16"/>
                <w:szCs w:val="16"/>
                <w:lang w:val="lt-LT"/>
              </w:rPr>
              <w:t xml:space="preserve">, </w:t>
            </w:r>
            <w:r w:rsidR="00E44EB4" w:rsidRPr="008048D3">
              <w:rPr>
                <w:rFonts w:ascii="Verdana" w:eastAsia="PMingLiU" w:hAnsi="Verdana" w:cs="Arial"/>
                <w:color w:val="000000"/>
                <w:sz w:val="16"/>
                <w:szCs w:val="16"/>
                <w:lang w:val="lt-LT"/>
              </w:rPr>
              <w:t>remdamasis rinkos stebėjimo duomenimis</w:t>
            </w:r>
            <w:r w:rsidR="000A0E05" w:rsidRPr="008048D3">
              <w:rPr>
                <w:rFonts w:ascii="Verdana" w:eastAsia="PMingLiU" w:hAnsi="Verdana" w:cs="Arial"/>
                <w:color w:val="000000"/>
                <w:sz w:val="16"/>
                <w:szCs w:val="16"/>
                <w:lang w:val="lt-LT"/>
              </w:rPr>
              <w:t xml:space="preserve">. </w:t>
            </w:r>
            <w:r w:rsidR="00E44EB4" w:rsidRPr="008048D3">
              <w:rPr>
                <w:rFonts w:ascii="Verdana" w:eastAsia="PMingLiU" w:hAnsi="Verdana" w:cs="Arial"/>
                <w:color w:val="000000"/>
                <w:sz w:val="16"/>
                <w:szCs w:val="16"/>
                <w:lang w:val="lt-LT"/>
              </w:rPr>
              <w:lastRenderedPageBreak/>
              <w:t>Pratęsus pasirašymo laikotarpį</w:t>
            </w:r>
            <w:r w:rsidR="004D7060" w:rsidRPr="008048D3">
              <w:rPr>
                <w:rFonts w:ascii="Verdana" w:eastAsia="PMingLiU" w:hAnsi="Verdana" w:cs="Arial"/>
                <w:color w:val="000000"/>
                <w:sz w:val="16"/>
                <w:szCs w:val="16"/>
                <w:lang w:val="lt-LT"/>
              </w:rPr>
              <w:t>,</w:t>
            </w:r>
            <w:r w:rsidR="00E44EB4" w:rsidRPr="008048D3">
              <w:rPr>
                <w:rFonts w:ascii="Verdana" w:eastAsia="PMingLiU" w:hAnsi="Verdana" w:cs="Arial"/>
                <w:color w:val="000000"/>
                <w:sz w:val="16"/>
                <w:szCs w:val="16"/>
                <w:lang w:val="lt-LT"/>
              </w:rPr>
              <w:t xml:space="preserve"> būtų atidėta Siūlomų akcijų paskirstymo diena</w:t>
            </w:r>
            <w:r w:rsidR="000A0E05" w:rsidRPr="008048D3">
              <w:rPr>
                <w:rFonts w:ascii="Verdana" w:eastAsia="PMingLiU" w:hAnsi="Verdana" w:cs="Arial"/>
                <w:color w:val="000000"/>
                <w:sz w:val="16"/>
                <w:szCs w:val="16"/>
                <w:lang w:val="lt-LT"/>
              </w:rPr>
              <w:t xml:space="preserve">, </w:t>
            </w:r>
            <w:r w:rsidR="00E44EB4" w:rsidRPr="008048D3">
              <w:rPr>
                <w:rFonts w:ascii="Verdana" w:eastAsia="PMingLiU" w:hAnsi="Verdana" w:cs="Arial"/>
                <w:color w:val="000000"/>
                <w:sz w:val="16"/>
                <w:szCs w:val="16"/>
                <w:lang w:val="lt-LT"/>
              </w:rPr>
              <w:t xml:space="preserve">taip pat Naujų akcijų įtraukimo į </w:t>
            </w:r>
            <w:proofErr w:type="spellStart"/>
            <w:r w:rsidR="000A0E05" w:rsidRPr="008048D3">
              <w:rPr>
                <w:rFonts w:ascii="Verdana" w:eastAsia="PMingLiU" w:hAnsi="Verdana" w:cs="Arial"/>
                <w:color w:val="000000"/>
                <w:sz w:val="16"/>
                <w:szCs w:val="16"/>
                <w:lang w:val="lt-LT"/>
              </w:rPr>
              <w:t>Nasdaq</w:t>
            </w:r>
            <w:proofErr w:type="spellEnd"/>
            <w:r w:rsidR="000A0E05" w:rsidRPr="008048D3">
              <w:rPr>
                <w:rFonts w:ascii="Verdana" w:eastAsia="PMingLiU" w:hAnsi="Verdana" w:cs="Arial"/>
                <w:color w:val="000000"/>
                <w:sz w:val="16"/>
                <w:szCs w:val="16"/>
                <w:lang w:val="lt-LT"/>
              </w:rPr>
              <w:t xml:space="preserve"> Vilnius </w:t>
            </w:r>
            <w:r w:rsidR="00E44EB4" w:rsidRPr="008048D3">
              <w:rPr>
                <w:rFonts w:ascii="Verdana" w:eastAsia="PMingLiU" w:hAnsi="Verdana" w:cs="Arial"/>
                <w:color w:val="000000"/>
                <w:sz w:val="16"/>
                <w:szCs w:val="16"/>
                <w:lang w:val="lt-LT"/>
              </w:rPr>
              <w:t xml:space="preserve">ir </w:t>
            </w:r>
            <w:r w:rsidR="000A0E05" w:rsidRPr="008048D3">
              <w:rPr>
                <w:rFonts w:ascii="Verdana" w:eastAsia="PMingLiU" w:hAnsi="Verdana" w:cs="Arial"/>
                <w:color w:val="000000"/>
                <w:sz w:val="16"/>
                <w:szCs w:val="16"/>
                <w:lang w:val="lt-LT"/>
              </w:rPr>
              <w:t>WSE</w:t>
            </w:r>
            <w:r w:rsidR="00E44EB4" w:rsidRPr="008048D3">
              <w:rPr>
                <w:rFonts w:ascii="Verdana" w:eastAsia="PMingLiU" w:hAnsi="Verdana" w:cs="Arial"/>
                <w:color w:val="000000"/>
                <w:sz w:val="16"/>
                <w:szCs w:val="16"/>
                <w:lang w:val="lt-LT"/>
              </w:rPr>
              <w:t xml:space="preserve"> data</w:t>
            </w:r>
            <w:r w:rsidR="000A0E05" w:rsidRPr="008048D3">
              <w:rPr>
                <w:rFonts w:ascii="Verdana" w:eastAsia="PMingLiU" w:hAnsi="Verdana" w:cs="Arial"/>
                <w:color w:val="000000"/>
                <w:sz w:val="16"/>
                <w:szCs w:val="16"/>
                <w:lang w:val="lt-LT"/>
              </w:rPr>
              <w:t xml:space="preserve">. </w:t>
            </w:r>
          </w:p>
          <w:p w14:paraId="7812C356" w14:textId="77777777" w:rsidR="000A0E05" w:rsidRPr="008048D3" w:rsidRDefault="000A0E05" w:rsidP="000A0E05">
            <w:pPr>
              <w:jc w:val="both"/>
              <w:rPr>
                <w:rFonts w:ascii="Verdana" w:eastAsia="PMingLiU" w:hAnsi="Verdana" w:cs="Arial"/>
                <w:color w:val="000000"/>
                <w:sz w:val="16"/>
                <w:szCs w:val="16"/>
                <w:lang w:val="lt-LT"/>
              </w:rPr>
            </w:pPr>
          </w:p>
          <w:p w14:paraId="1F429416" w14:textId="36921ADB" w:rsidR="00D02FEC" w:rsidRPr="008048D3" w:rsidRDefault="00E44EB4" w:rsidP="000A0E05">
            <w:pPr>
              <w:pStyle w:val="KLGIPOBody"/>
              <w:spacing w:before="0" w:after="0" w:line="240" w:lineRule="auto"/>
              <w:rPr>
                <w:rFonts w:ascii="Verdana" w:eastAsia="Calibri" w:hAnsi="Verdana" w:cs="Times New Roman"/>
                <w:sz w:val="16"/>
                <w:szCs w:val="16"/>
                <w:lang w:val="lt-LT"/>
              </w:rPr>
            </w:pPr>
            <w:r w:rsidRPr="008048D3">
              <w:rPr>
                <w:rFonts w:ascii="Verdana" w:hAnsi="Verdana"/>
                <w:sz w:val="16"/>
                <w:szCs w:val="16"/>
                <w:lang w:val="lt-LT"/>
              </w:rPr>
              <w:t>Įstatymo reikalaujamais atvejais apie Siūlymo datų pakeitimus turėtų būti pranešta paskelbiant Prospekto priedą</w:t>
            </w:r>
            <w:r w:rsidR="000A0E05" w:rsidRPr="008048D3">
              <w:rPr>
                <w:rFonts w:ascii="Verdana" w:hAnsi="Verdana"/>
                <w:sz w:val="16"/>
                <w:szCs w:val="16"/>
                <w:lang w:val="lt-LT"/>
              </w:rPr>
              <w:t>. Informa</w:t>
            </w:r>
            <w:r w:rsidRPr="008048D3">
              <w:rPr>
                <w:rFonts w:ascii="Verdana" w:hAnsi="Verdana"/>
                <w:sz w:val="16"/>
                <w:szCs w:val="16"/>
                <w:lang w:val="lt-LT"/>
              </w:rPr>
              <w:t>cija apie bet kokį datų pasikeitimą turėtų būti paskelbta ne vėliau nei iš pradžių nustatytą dieną</w:t>
            </w:r>
            <w:r w:rsidR="000A0E05" w:rsidRPr="008048D3">
              <w:rPr>
                <w:rFonts w:ascii="Verdana" w:hAnsi="Verdana"/>
                <w:sz w:val="16"/>
                <w:szCs w:val="16"/>
                <w:lang w:val="lt-LT"/>
              </w:rPr>
              <w:t xml:space="preserve">, </w:t>
            </w:r>
            <w:r w:rsidRPr="008048D3">
              <w:rPr>
                <w:rFonts w:ascii="Verdana" w:hAnsi="Verdana"/>
                <w:sz w:val="16"/>
                <w:szCs w:val="16"/>
                <w:lang w:val="lt-LT"/>
              </w:rPr>
              <w:t>su sąlyga, kad jei Pasirašymo pavedimų priėmimo laikotarpis būtų trumpinamas</w:t>
            </w:r>
            <w:r w:rsidR="000A0E05" w:rsidRPr="008048D3">
              <w:rPr>
                <w:rFonts w:ascii="Verdana" w:hAnsi="Verdana"/>
                <w:sz w:val="16"/>
                <w:szCs w:val="16"/>
                <w:lang w:val="lt-LT"/>
              </w:rPr>
              <w:t xml:space="preserve">, </w:t>
            </w:r>
            <w:r w:rsidRPr="008048D3">
              <w:rPr>
                <w:rFonts w:ascii="Verdana" w:hAnsi="Verdana"/>
                <w:sz w:val="16"/>
                <w:szCs w:val="16"/>
                <w:lang w:val="lt-LT"/>
              </w:rPr>
              <w:t xml:space="preserve">atitinkama informacija turėtų būti paskelbta ne vėliau nei dieną prieš Pasirašymo pavedimų priėmimo laikotarpio paskutinę dieną </w:t>
            </w:r>
            <w:r w:rsidR="000A0E05" w:rsidRPr="008048D3">
              <w:rPr>
                <w:rFonts w:ascii="Verdana" w:hAnsi="Verdana"/>
                <w:sz w:val="16"/>
                <w:szCs w:val="16"/>
                <w:lang w:val="lt-LT"/>
              </w:rPr>
              <w:t>(</w:t>
            </w:r>
            <w:r w:rsidRPr="008048D3">
              <w:rPr>
                <w:rFonts w:ascii="Verdana" w:hAnsi="Verdana"/>
                <w:sz w:val="16"/>
                <w:szCs w:val="16"/>
                <w:lang w:val="lt-LT"/>
              </w:rPr>
              <w:t>pagal naują grafiką</w:t>
            </w:r>
            <w:r w:rsidR="000A0E05" w:rsidRPr="008048D3">
              <w:rPr>
                <w:rFonts w:ascii="Verdana" w:hAnsi="Verdana"/>
                <w:sz w:val="16"/>
                <w:szCs w:val="16"/>
                <w:lang w:val="lt-LT"/>
              </w:rPr>
              <w:t>).</w:t>
            </w:r>
            <w:r w:rsidR="00D02FEC" w:rsidRPr="008048D3">
              <w:rPr>
                <w:rFonts w:ascii="Verdana" w:eastAsia="Calibri" w:hAnsi="Verdana" w:cs="Times New Roman"/>
                <w:sz w:val="16"/>
                <w:szCs w:val="16"/>
                <w:lang w:val="lt-LT"/>
              </w:rPr>
              <w:t xml:space="preserve"> </w:t>
            </w:r>
          </w:p>
          <w:p w14:paraId="54835C41" w14:textId="77777777" w:rsidR="004D7060" w:rsidRPr="008048D3" w:rsidRDefault="004D7060" w:rsidP="00D02FEC">
            <w:pPr>
              <w:pStyle w:val="KLGIPOBody"/>
              <w:spacing w:before="0" w:after="0" w:line="240" w:lineRule="auto"/>
              <w:rPr>
                <w:rFonts w:ascii="Verdana" w:eastAsia="Calibri" w:hAnsi="Verdana" w:cs="Times New Roman"/>
                <w:b/>
                <w:sz w:val="16"/>
                <w:szCs w:val="16"/>
                <w:lang w:val="lt-LT"/>
              </w:rPr>
            </w:pPr>
          </w:p>
          <w:p w14:paraId="3707839B" w14:textId="461828E9" w:rsidR="000A0E05" w:rsidRPr="008048D3" w:rsidRDefault="006C4DB7" w:rsidP="000A0E05">
            <w:pPr>
              <w:jc w:val="both"/>
              <w:rPr>
                <w:rFonts w:ascii="Verdana" w:hAnsi="Verdana"/>
                <w:b/>
                <w:sz w:val="16"/>
                <w:szCs w:val="16"/>
                <w:lang w:val="lt-LT"/>
              </w:rPr>
            </w:pPr>
            <w:r w:rsidRPr="008048D3">
              <w:rPr>
                <w:rFonts w:ascii="Verdana" w:hAnsi="Verdana"/>
                <w:b/>
                <w:sz w:val="16"/>
                <w:szCs w:val="16"/>
                <w:lang w:val="lt-LT"/>
              </w:rPr>
              <w:t>Siūlymo kainos ribos</w:t>
            </w:r>
            <w:r w:rsidR="000A0E05" w:rsidRPr="008048D3">
              <w:rPr>
                <w:rFonts w:ascii="Verdana" w:hAnsi="Verdana"/>
                <w:b/>
                <w:sz w:val="16"/>
                <w:szCs w:val="16"/>
                <w:lang w:val="lt-LT"/>
              </w:rPr>
              <w:t>, Ma</w:t>
            </w:r>
            <w:r w:rsidRPr="008048D3">
              <w:rPr>
                <w:rFonts w:ascii="Verdana" w:hAnsi="Verdana"/>
                <w:b/>
                <w:sz w:val="16"/>
                <w:szCs w:val="16"/>
                <w:lang w:val="lt-LT"/>
              </w:rPr>
              <w:t>ks</w:t>
            </w:r>
            <w:r w:rsidR="000A0E05" w:rsidRPr="008048D3">
              <w:rPr>
                <w:rFonts w:ascii="Verdana" w:hAnsi="Verdana"/>
                <w:b/>
                <w:sz w:val="16"/>
                <w:szCs w:val="16"/>
                <w:lang w:val="lt-LT"/>
              </w:rPr>
              <w:t>im</w:t>
            </w:r>
            <w:r w:rsidRPr="008048D3">
              <w:rPr>
                <w:rFonts w:ascii="Verdana" w:hAnsi="Verdana"/>
                <w:b/>
                <w:sz w:val="16"/>
                <w:szCs w:val="16"/>
                <w:lang w:val="lt-LT"/>
              </w:rPr>
              <w:t xml:space="preserve">ali kaina ir </w:t>
            </w:r>
            <w:r w:rsidR="00AA754B" w:rsidRPr="008048D3">
              <w:rPr>
                <w:rFonts w:ascii="Verdana" w:hAnsi="Verdana"/>
                <w:b/>
                <w:sz w:val="16"/>
                <w:szCs w:val="16"/>
                <w:lang w:val="lt-LT"/>
              </w:rPr>
              <w:t xml:space="preserve">Siūlymo kaina </w:t>
            </w:r>
          </w:p>
          <w:p w14:paraId="3650A47B" w14:textId="77777777" w:rsidR="000A0E05" w:rsidRPr="008048D3" w:rsidRDefault="000A0E05" w:rsidP="000A0E05">
            <w:pPr>
              <w:jc w:val="both"/>
              <w:rPr>
                <w:rFonts w:ascii="Verdana" w:hAnsi="Verdana"/>
                <w:sz w:val="16"/>
                <w:szCs w:val="16"/>
                <w:lang w:val="lt-LT"/>
              </w:rPr>
            </w:pPr>
          </w:p>
          <w:p w14:paraId="4EC2CDFC" w14:textId="70BF7BC7" w:rsidR="000A0E05" w:rsidRPr="008048D3" w:rsidRDefault="00AA754B" w:rsidP="000A0E05">
            <w:pPr>
              <w:jc w:val="both"/>
              <w:rPr>
                <w:rFonts w:ascii="Verdana" w:hAnsi="Verdana"/>
                <w:sz w:val="16"/>
                <w:szCs w:val="16"/>
                <w:lang w:val="lt-LT"/>
              </w:rPr>
            </w:pPr>
            <w:r w:rsidRPr="008048D3">
              <w:rPr>
                <w:rFonts w:ascii="Verdana" w:hAnsi="Verdana"/>
                <w:sz w:val="16"/>
                <w:szCs w:val="16"/>
                <w:lang w:val="lt-LT"/>
              </w:rPr>
              <w:t xml:space="preserve">Siūlymo kainos ribos yra nuo </w:t>
            </w:r>
            <w:r w:rsidR="00392E87" w:rsidRPr="008048D3">
              <w:rPr>
                <w:rFonts w:ascii="Verdana" w:hAnsi="Verdana"/>
                <w:sz w:val="16"/>
                <w:szCs w:val="16"/>
                <w:lang w:val="lt-LT"/>
              </w:rPr>
              <w:t>0,4</w:t>
            </w:r>
            <w:r w:rsidR="00BF7888" w:rsidRPr="008048D3">
              <w:rPr>
                <w:rFonts w:ascii="Verdana" w:hAnsi="Verdana"/>
                <w:sz w:val="16"/>
                <w:szCs w:val="16"/>
                <w:lang w:val="lt-LT"/>
              </w:rPr>
              <w:t>5</w:t>
            </w:r>
            <w:r w:rsidR="000A0E05" w:rsidRPr="008048D3">
              <w:rPr>
                <w:rFonts w:ascii="Verdana" w:hAnsi="Verdana"/>
                <w:sz w:val="16"/>
                <w:szCs w:val="16"/>
                <w:lang w:val="lt-LT"/>
              </w:rPr>
              <w:t xml:space="preserve"> </w:t>
            </w:r>
            <w:r w:rsidRPr="008048D3">
              <w:rPr>
                <w:rFonts w:ascii="Verdana" w:hAnsi="Verdana"/>
                <w:sz w:val="16"/>
                <w:szCs w:val="16"/>
                <w:lang w:val="lt-LT"/>
              </w:rPr>
              <w:t xml:space="preserve">EUR iki </w:t>
            </w:r>
            <w:r w:rsidR="00392E87" w:rsidRPr="008048D3">
              <w:rPr>
                <w:rFonts w:ascii="Verdana" w:hAnsi="Verdana"/>
                <w:sz w:val="16"/>
                <w:szCs w:val="16"/>
                <w:lang w:val="lt-LT"/>
              </w:rPr>
              <w:t>0,5</w:t>
            </w:r>
            <w:r w:rsidR="00BF7888" w:rsidRPr="008048D3">
              <w:rPr>
                <w:rFonts w:ascii="Verdana" w:hAnsi="Verdana"/>
                <w:sz w:val="16"/>
                <w:szCs w:val="16"/>
                <w:lang w:val="lt-LT"/>
              </w:rPr>
              <w:t>0</w:t>
            </w:r>
            <w:r w:rsidR="000A0E05" w:rsidRPr="008048D3">
              <w:rPr>
                <w:rFonts w:ascii="Verdana" w:hAnsi="Verdana"/>
                <w:sz w:val="16"/>
                <w:szCs w:val="16"/>
                <w:lang w:val="lt-LT"/>
              </w:rPr>
              <w:t xml:space="preserve"> </w:t>
            </w:r>
            <w:r w:rsidRPr="008048D3">
              <w:rPr>
                <w:rFonts w:ascii="Verdana" w:hAnsi="Verdana"/>
                <w:sz w:val="16"/>
                <w:szCs w:val="16"/>
                <w:lang w:val="lt-LT"/>
              </w:rPr>
              <w:t>EUR už vieną Siūlomą akciją</w:t>
            </w:r>
            <w:r w:rsidR="000A0E05" w:rsidRPr="008048D3">
              <w:rPr>
                <w:rFonts w:ascii="Verdana" w:hAnsi="Verdana"/>
                <w:sz w:val="16"/>
                <w:szCs w:val="16"/>
                <w:lang w:val="lt-LT"/>
              </w:rPr>
              <w:t xml:space="preserve">. </w:t>
            </w:r>
            <w:r w:rsidR="00383010" w:rsidRPr="008048D3">
              <w:rPr>
                <w:rFonts w:ascii="Verdana" w:hAnsi="Verdana"/>
                <w:sz w:val="16"/>
                <w:szCs w:val="16"/>
                <w:lang w:val="lt-LT"/>
              </w:rPr>
              <w:t xml:space="preserve">Siūlymo kainos ribos ir galutinė Siūlymo kaina bus tos pačios vykdant </w:t>
            </w:r>
            <w:r w:rsidR="000A0E05" w:rsidRPr="008048D3">
              <w:rPr>
                <w:rFonts w:ascii="Verdana" w:hAnsi="Verdana"/>
                <w:sz w:val="16"/>
                <w:szCs w:val="16"/>
                <w:lang w:val="lt-LT"/>
              </w:rPr>
              <w:t>Institu</w:t>
            </w:r>
            <w:r w:rsidR="00383010" w:rsidRPr="008048D3">
              <w:rPr>
                <w:rFonts w:ascii="Verdana" w:hAnsi="Verdana"/>
                <w:sz w:val="16"/>
                <w:szCs w:val="16"/>
                <w:lang w:val="lt-LT"/>
              </w:rPr>
              <w:t>cinį siūlymą</w:t>
            </w:r>
            <w:r w:rsidR="000A0E05" w:rsidRPr="008048D3">
              <w:rPr>
                <w:rFonts w:ascii="Verdana" w:hAnsi="Verdana"/>
                <w:sz w:val="16"/>
                <w:szCs w:val="16"/>
                <w:lang w:val="lt-LT"/>
              </w:rPr>
              <w:t>, Privat</w:t>
            </w:r>
            <w:r w:rsidR="00383010" w:rsidRPr="008048D3">
              <w:rPr>
                <w:rFonts w:ascii="Verdana" w:hAnsi="Verdana"/>
                <w:sz w:val="16"/>
                <w:szCs w:val="16"/>
                <w:lang w:val="lt-LT"/>
              </w:rPr>
              <w:t>ų siūlymą ir Mažmeninį siūlymą</w:t>
            </w:r>
            <w:r w:rsidR="000A0E05" w:rsidRPr="008048D3">
              <w:rPr>
                <w:rFonts w:ascii="Verdana" w:hAnsi="Verdana"/>
                <w:sz w:val="16"/>
                <w:szCs w:val="16"/>
                <w:lang w:val="lt-LT"/>
              </w:rPr>
              <w:t xml:space="preserve">. </w:t>
            </w:r>
            <w:r w:rsidR="00383010" w:rsidRPr="008048D3">
              <w:rPr>
                <w:rFonts w:ascii="Verdana" w:hAnsi="Verdana"/>
                <w:sz w:val="16"/>
                <w:szCs w:val="16"/>
                <w:lang w:val="lt-LT"/>
              </w:rPr>
              <w:t>Be to</w:t>
            </w:r>
            <w:r w:rsidR="000A0E05" w:rsidRPr="008048D3">
              <w:rPr>
                <w:rFonts w:ascii="Verdana" w:hAnsi="Verdana"/>
                <w:sz w:val="16"/>
                <w:szCs w:val="16"/>
                <w:lang w:val="lt-LT"/>
              </w:rPr>
              <w:t xml:space="preserve">, </w:t>
            </w:r>
            <w:r w:rsidR="00383010" w:rsidRPr="008048D3">
              <w:rPr>
                <w:rFonts w:ascii="Verdana" w:hAnsi="Verdana"/>
                <w:sz w:val="16"/>
                <w:szCs w:val="16"/>
                <w:lang w:val="lt-LT"/>
              </w:rPr>
              <w:t>Siūlymo kainos ribos ir galutinė Siūlymo kaina bus tos pačios visoms Siūlomoms akcijoms</w:t>
            </w:r>
            <w:r w:rsidR="000A0E05" w:rsidRPr="008048D3">
              <w:rPr>
                <w:rFonts w:ascii="Verdana" w:hAnsi="Verdana"/>
                <w:sz w:val="16"/>
                <w:szCs w:val="16"/>
                <w:lang w:val="lt-LT"/>
              </w:rPr>
              <w:t>.</w:t>
            </w:r>
          </w:p>
          <w:p w14:paraId="22652B71" w14:textId="77777777" w:rsidR="000A0E05" w:rsidRPr="008048D3" w:rsidRDefault="000A0E05" w:rsidP="000A0E05">
            <w:pPr>
              <w:jc w:val="both"/>
              <w:rPr>
                <w:rFonts w:ascii="Verdana" w:hAnsi="Verdana"/>
                <w:sz w:val="16"/>
                <w:szCs w:val="16"/>
                <w:lang w:val="lt-LT"/>
              </w:rPr>
            </w:pPr>
          </w:p>
          <w:p w14:paraId="1E40614C" w14:textId="5E216BC1" w:rsidR="000A0E05" w:rsidRPr="008048D3" w:rsidRDefault="00F02B59" w:rsidP="000A0E05">
            <w:pPr>
              <w:jc w:val="both"/>
              <w:rPr>
                <w:rFonts w:ascii="Verdana" w:hAnsi="Verdana"/>
                <w:sz w:val="16"/>
                <w:szCs w:val="16"/>
                <w:lang w:val="lt-LT"/>
              </w:rPr>
            </w:pPr>
            <w:r w:rsidRPr="008048D3">
              <w:rPr>
                <w:rFonts w:ascii="Verdana" w:hAnsi="Verdana" w:cs="Arial"/>
                <w:sz w:val="16"/>
                <w:szCs w:val="16"/>
                <w:lang w:val="lt-LT"/>
              </w:rPr>
              <w:t>Pasaulinio pagrindinio platintojo</w:t>
            </w:r>
            <w:r w:rsidRPr="008048D3">
              <w:rPr>
                <w:rFonts w:ascii="Verdana" w:eastAsia="PMingLiU" w:hAnsi="Verdana" w:cs="Arial"/>
                <w:color w:val="000000"/>
                <w:sz w:val="16"/>
                <w:szCs w:val="16"/>
                <w:lang w:val="lt-LT"/>
              </w:rPr>
              <w:t xml:space="preserve"> pakviestų Institucinių investuotojų orientacinių paraiškų priėmimo laikotarpiu</w:t>
            </w:r>
            <w:r w:rsidR="000A0E05" w:rsidRPr="008048D3">
              <w:rPr>
                <w:rFonts w:ascii="Verdana" w:hAnsi="Verdana"/>
                <w:sz w:val="16"/>
                <w:szCs w:val="16"/>
                <w:lang w:val="lt-LT"/>
              </w:rPr>
              <w:t xml:space="preserve"> </w:t>
            </w:r>
            <w:r w:rsidRPr="008048D3">
              <w:rPr>
                <w:rFonts w:ascii="Verdana" w:hAnsi="Verdana"/>
                <w:sz w:val="16"/>
                <w:szCs w:val="16"/>
                <w:lang w:val="lt-LT"/>
              </w:rPr>
              <w:t xml:space="preserve">tokie </w:t>
            </w:r>
            <w:r w:rsidRPr="008048D3">
              <w:rPr>
                <w:rFonts w:ascii="Verdana" w:eastAsia="PMingLiU" w:hAnsi="Verdana" w:cs="Arial"/>
                <w:color w:val="000000"/>
                <w:sz w:val="16"/>
                <w:szCs w:val="16"/>
                <w:lang w:val="lt-LT"/>
              </w:rPr>
              <w:t xml:space="preserve">Instituciniai investuotojai, kuriuos domina Siūlomų akcijų pasirašymas, nurodys Siūlomų akcijų skaičių, kurį jie norės pirkti, ir kainą </w:t>
            </w:r>
            <w:r w:rsidRPr="008048D3">
              <w:rPr>
                <w:rFonts w:ascii="Verdana" w:hAnsi="Verdana"/>
                <w:sz w:val="16"/>
                <w:szCs w:val="16"/>
                <w:lang w:val="lt-LT"/>
              </w:rPr>
              <w:t xml:space="preserve">Siūlymo kainos ribose </w:t>
            </w:r>
            <w:r w:rsidR="000A0E05" w:rsidRPr="008048D3">
              <w:rPr>
                <w:rFonts w:ascii="Verdana" w:hAnsi="Verdana"/>
                <w:sz w:val="16"/>
                <w:szCs w:val="16"/>
                <w:lang w:val="lt-LT"/>
              </w:rPr>
              <w:t>(</w:t>
            </w:r>
            <w:r w:rsidRPr="008048D3">
              <w:rPr>
                <w:rFonts w:ascii="Verdana" w:hAnsi="Verdana"/>
                <w:sz w:val="16"/>
                <w:szCs w:val="16"/>
                <w:lang w:val="lt-LT"/>
              </w:rPr>
              <w:t xml:space="preserve">ne didesnę nei </w:t>
            </w:r>
            <w:r w:rsidR="000A0E05" w:rsidRPr="008048D3">
              <w:rPr>
                <w:rFonts w:ascii="Verdana" w:hAnsi="Verdana"/>
                <w:sz w:val="16"/>
                <w:szCs w:val="16"/>
                <w:lang w:val="lt-LT"/>
              </w:rPr>
              <w:t>Ma</w:t>
            </w:r>
            <w:r w:rsidRPr="008048D3">
              <w:rPr>
                <w:rFonts w:ascii="Verdana" w:hAnsi="Verdana"/>
                <w:sz w:val="16"/>
                <w:szCs w:val="16"/>
                <w:lang w:val="lt-LT"/>
              </w:rPr>
              <w:t>ks</w:t>
            </w:r>
            <w:r w:rsidR="000A0E05" w:rsidRPr="008048D3">
              <w:rPr>
                <w:rFonts w:ascii="Verdana" w:hAnsi="Verdana"/>
                <w:sz w:val="16"/>
                <w:szCs w:val="16"/>
                <w:lang w:val="lt-LT"/>
              </w:rPr>
              <w:t>im</w:t>
            </w:r>
            <w:r w:rsidRPr="008048D3">
              <w:rPr>
                <w:rFonts w:ascii="Verdana" w:hAnsi="Verdana"/>
                <w:sz w:val="16"/>
                <w:szCs w:val="16"/>
                <w:lang w:val="lt-LT"/>
              </w:rPr>
              <w:t>ali kaina</w:t>
            </w:r>
            <w:r w:rsidR="000A0E05" w:rsidRPr="008048D3">
              <w:rPr>
                <w:rFonts w:ascii="Verdana" w:hAnsi="Verdana"/>
                <w:sz w:val="16"/>
                <w:szCs w:val="16"/>
                <w:lang w:val="lt-LT"/>
              </w:rPr>
              <w:t xml:space="preserve">), </w:t>
            </w:r>
            <w:r w:rsidRPr="008048D3">
              <w:rPr>
                <w:rFonts w:ascii="Verdana" w:hAnsi="Verdana"/>
                <w:sz w:val="16"/>
                <w:szCs w:val="16"/>
                <w:lang w:val="lt-LT"/>
              </w:rPr>
              <w:t>kurią jie norės mokėti</w:t>
            </w:r>
            <w:r w:rsidR="000A0E05" w:rsidRPr="008048D3">
              <w:rPr>
                <w:rFonts w:ascii="Verdana" w:hAnsi="Verdana"/>
                <w:sz w:val="16"/>
                <w:szCs w:val="16"/>
                <w:lang w:val="lt-LT"/>
              </w:rPr>
              <w:t xml:space="preserve">. </w:t>
            </w:r>
            <w:r w:rsidR="005E58EC" w:rsidRPr="008048D3">
              <w:rPr>
                <w:rFonts w:ascii="Verdana" w:hAnsi="Verdana"/>
                <w:sz w:val="16"/>
                <w:szCs w:val="16"/>
                <w:lang w:val="lt-LT"/>
              </w:rPr>
              <w:t xml:space="preserve">Mažmeniniai investuotojai </w:t>
            </w:r>
            <w:r w:rsidR="005E58EC" w:rsidRPr="008048D3">
              <w:rPr>
                <w:rFonts w:ascii="Verdana" w:eastAsia="PMingLiU" w:hAnsi="Verdana" w:cs="Arial"/>
                <w:color w:val="000000"/>
                <w:sz w:val="16"/>
                <w:szCs w:val="16"/>
                <w:lang w:val="lt-LT"/>
              </w:rPr>
              <w:t>orientacinių paraiškų pateikimo procese nedalyvau</w:t>
            </w:r>
            <w:r w:rsidR="006F55AD" w:rsidRPr="008048D3">
              <w:rPr>
                <w:rFonts w:ascii="Verdana" w:eastAsia="PMingLiU" w:hAnsi="Verdana" w:cs="Arial"/>
                <w:color w:val="000000"/>
                <w:sz w:val="16"/>
                <w:szCs w:val="16"/>
                <w:lang w:val="lt-LT"/>
              </w:rPr>
              <w:t>ja</w:t>
            </w:r>
            <w:r w:rsidR="000A0E05" w:rsidRPr="008048D3">
              <w:rPr>
                <w:rFonts w:ascii="Verdana" w:hAnsi="Verdana"/>
                <w:sz w:val="16"/>
                <w:szCs w:val="16"/>
                <w:lang w:val="lt-LT"/>
              </w:rPr>
              <w:t>.</w:t>
            </w:r>
            <w:r w:rsidR="00BF7888" w:rsidRPr="008048D3">
              <w:rPr>
                <w:rFonts w:ascii="Verdana" w:hAnsi="Verdana"/>
                <w:sz w:val="16"/>
                <w:szCs w:val="16"/>
                <w:lang w:val="lt-LT"/>
              </w:rPr>
              <w:t xml:space="preserve"> Mažmeniniai investuotojai teikia paraiškas Maksimalia kaina.</w:t>
            </w:r>
          </w:p>
          <w:p w14:paraId="26E172E2" w14:textId="77777777" w:rsidR="000A0E05" w:rsidRPr="008048D3" w:rsidRDefault="000A0E05" w:rsidP="000A0E05">
            <w:pPr>
              <w:jc w:val="both"/>
              <w:rPr>
                <w:rFonts w:ascii="Verdana" w:hAnsi="Verdana"/>
                <w:sz w:val="16"/>
                <w:szCs w:val="16"/>
                <w:lang w:val="lt-LT"/>
              </w:rPr>
            </w:pPr>
          </w:p>
          <w:p w14:paraId="32010C83" w14:textId="7169452C" w:rsidR="000A0E05" w:rsidRPr="008048D3" w:rsidRDefault="007A1E5D" w:rsidP="000A0E05">
            <w:pPr>
              <w:jc w:val="both"/>
              <w:rPr>
                <w:rFonts w:ascii="Verdana" w:hAnsi="Verdana"/>
                <w:sz w:val="16"/>
                <w:szCs w:val="16"/>
                <w:lang w:val="lt-LT"/>
              </w:rPr>
            </w:pPr>
            <w:r w:rsidRPr="008048D3">
              <w:rPr>
                <w:rFonts w:ascii="Verdana" w:hAnsi="Verdana"/>
                <w:sz w:val="16"/>
                <w:szCs w:val="16"/>
                <w:lang w:val="lt-LT"/>
              </w:rPr>
              <w:t xml:space="preserve">Gali būti nustatyta bet kokia </w:t>
            </w:r>
            <w:r w:rsidR="00FA6A64" w:rsidRPr="008048D3">
              <w:rPr>
                <w:rFonts w:ascii="Verdana" w:hAnsi="Verdana"/>
                <w:sz w:val="16"/>
                <w:szCs w:val="16"/>
                <w:lang w:val="lt-LT"/>
              </w:rPr>
              <w:t xml:space="preserve">Galutinė kaina, už kurią Siūlomos akcijos bus parduodamos, </w:t>
            </w:r>
            <w:r w:rsidRPr="008048D3">
              <w:rPr>
                <w:rFonts w:ascii="Verdana" w:hAnsi="Verdana"/>
                <w:sz w:val="16"/>
                <w:szCs w:val="16"/>
                <w:lang w:val="lt-LT"/>
              </w:rPr>
              <w:t>bet ji turi būti šiame Prospekte nurodytose Siūlymo kainos ribose</w:t>
            </w:r>
            <w:r w:rsidR="000A0E05" w:rsidRPr="008048D3">
              <w:rPr>
                <w:rFonts w:ascii="Verdana" w:hAnsi="Verdana"/>
                <w:sz w:val="16"/>
                <w:szCs w:val="16"/>
                <w:lang w:val="lt-LT"/>
              </w:rPr>
              <w:t>.</w:t>
            </w:r>
            <w:r w:rsidR="000A0E05" w:rsidRPr="008048D3">
              <w:rPr>
                <w:rFonts w:ascii="Verdana" w:hAnsi="Verdana"/>
                <w:i/>
                <w:sz w:val="16"/>
                <w:szCs w:val="16"/>
                <w:lang w:val="lt-LT"/>
              </w:rPr>
              <w:t xml:space="preserve"> </w:t>
            </w:r>
            <w:r w:rsidRPr="008048D3">
              <w:rPr>
                <w:rFonts w:ascii="Verdana" w:hAnsi="Verdana"/>
                <w:sz w:val="16"/>
                <w:szCs w:val="16"/>
                <w:lang w:val="lt-LT"/>
              </w:rPr>
              <w:t>Nustatant Siūlymo kainą bus atsižvelgiama į daug veiksnių</w:t>
            </w:r>
            <w:r w:rsidR="000A0E05" w:rsidRPr="008048D3">
              <w:rPr>
                <w:rFonts w:ascii="Verdana" w:hAnsi="Verdana"/>
                <w:sz w:val="16"/>
                <w:szCs w:val="16"/>
                <w:lang w:val="lt-LT"/>
              </w:rPr>
              <w:t xml:space="preserve">, </w:t>
            </w:r>
            <w:r w:rsidRPr="008048D3">
              <w:rPr>
                <w:rFonts w:ascii="Verdana" w:hAnsi="Verdana"/>
                <w:sz w:val="16"/>
                <w:szCs w:val="16"/>
                <w:lang w:val="lt-LT"/>
              </w:rPr>
              <w:t>tarp jų ir į sumą, kurią Bendrovė turėtų gauti dėl Siūlymo, ir į paskirstymo investuotojams pagrindą</w:t>
            </w:r>
            <w:r w:rsidR="000A0E05" w:rsidRPr="008048D3">
              <w:rPr>
                <w:rFonts w:ascii="Verdana" w:hAnsi="Verdana"/>
                <w:sz w:val="16"/>
                <w:szCs w:val="16"/>
                <w:lang w:val="lt-LT"/>
              </w:rPr>
              <w:t xml:space="preserve">, </w:t>
            </w:r>
            <w:r w:rsidRPr="008048D3">
              <w:rPr>
                <w:rFonts w:ascii="Verdana" w:hAnsi="Verdana"/>
                <w:sz w:val="16"/>
                <w:szCs w:val="16"/>
                <w:lang w:val="lt-LT"/>
              </w:rPr>
              <w:t xml:space="preserve">įskaitant Siūlomų akcijos paklausos </w:t>
            </w:r>
            <w:r w:rsidRPr="008048D3">
              <w:rPr>
                <w:rFonts w:ascii="Verdana" w:eastAsia="PMingLiU" w:hAnsi="Verdana" w:cs="Arial"/>
                <w:color w:val="000000"/>
                <w:sz w:val="16"/>
                <w:szCs w:val="16"/>
                <w:lang w:val="lt-LT"/>
              </w:rPr>
              <w:t>orientacinių paraiškų priėmimo laikotarpiu</w:t>
            </w:r>
            <w:r w:rsidRPr="008048D3">
              <w:rPr>
                <w:rFonts w:ascii="Verdana" w:hAnsi="Verdana"/>
                <w:sz w:val="16"/>
                <w:szCs w:val="16"/>
                <w:lang w:val="lt-LT"/>
              </w:rPr>
              <w:t xml:space="preserve"> lygį ir pobūdį</w:t>
            </w:r>
            <w:r w:rsidR="000A0E05" w:rsidRPr="008048D3">
              <w:rPr>
                <w:rFonts w:ascii="Verdana" w:hAnsi="Verdana"/>
                <w:sz w:val="16"/>
                <w:szCs w:val="16"/>
                <w:lang w:val="lt-LT"/>
              </w:rPr>
              <w:t xml:space="preserve">, </w:t>
            </w:r>
            <w:r w:rsidR="00880D0A" w:rsidRPr="008048D3">
              <w:rPr>
                <w:rFonts w:ascii="Verdana" w:hAnsi="Verdana"/>
                <w:sz w:val="16"/>
                <w:szCs w:val="16"/>
                <w:lang w:val="lt-LT"/>
              </w:rPr>
              <w:t xml:space="preserve">rinkoje vyraujančias sąlygas ir tikslą, kad Akcijomis vėliau būtų galima prekiauti </w:t>
            </w:r>
            <w:r w:rsidR="00F74BFA" w:rsidRPr="008048D3">
              <w:rPr>
                <w:rFonts w:ascii="Verdana" w:hAnsi="Verdana"/>
                <w:sz w:val="16"/>
                <w:szCs w:val="16"/>
                <w:lang w:val="lt-LT"/>
              </w:rPr>
              <w:t>organizuot</w:t>
            </w:r>
            <w:r w:rsidR="00880D0A" w:rsidRPr="008048D3">
              <w:rPr>
                <w:rFonts w:ascii="Verdana" w:hAnsi="Verdana"/>
                <w:sz w:val="16"/>
                <w:szCs w:val="16"/>
                <w:lang w:val="lt-LT"/>
              </w:rPr>
              <w:t>oje rinkoje</w:t>
            </w:r>
            <w:r w:rsidR="000A0E05" w:rsidRPr="008048D3">
              <w:rPr>
                <w:rFonts w:ascii="Verdana" w:hAnsi="Verdana"/>
                <w:sz w:val="16"/>
                <w:szCs w:val="16"/>
                <w:lang w:val="lt-LT"/>
              </w:rPr>
              <w:t xml:space="preserve">. </w:t>
            </w:r>
            <w:r w:rsidR="00880D0A" w:rsidRPr="008048D3">
              <w:rPr>
                <w:rFonts w:ascii="Verdana" w:hAnsi="Verdana"/>
                <w:sz w:val="16"/>
                <w:szCs w:val="16"/>
                <w:lang w:val="lt-LT"/>
              </w:rPr>
              <w:t xml:space="preserve">Tikimasi, kad kainų pranešimas dėl Siūlymo kainos ir galutinio Siūlomų akcijų skaičiaus bus paskelbtas </w:t>
            </w:r>
            <w:r w:rsidR="00880D0A" w:rsidRPr="008048D3">
              <w:rPr>
                <w:rFonts w:ascii="Verdana" w:eastAsia="PMingLiU" w:hAnsi="Verdana" w:cs="Arial"/>
                <w:color w:val="000000"/>
                <w:sz w:val="16"/>
                <w:szCs w:val="16"/>
                <w:lang w:val="lt-LT"/>
              </w:rPr>
              <w:t xml:space="preserve">2018 m. </w:t>
            </w:r>
            <w:r w:rsidR="005633EF" w:rsidRPr="008048D3">
              <w:rPr>
                <w:rFonts w:ascii="Verdana" w:eastAsia="PMingLiU" w:hAnsi="Verdana" w:cs="Arial"/>
                <w:color w:val="000000"/>
                <w:sz w:val="16"/>
                <w:szCs w:val="16"/>
                <w:lang w:val="lt-LT"/>
              </w:rPr>
              <w:t xml:space="preserve">liepos 23 </w:t>
            </w:r>
            <w:r w:rsidR="00880D0A" w:rsidRPr="008048D3">
              <w:rPr>
                <w:rFonts w:ascii="Verdana" w:eastAsia="PMingLiU" w:hAnsi="Verdana" w:cs="Arial"/>
                <w:color w:val="000000"/>
                <w:sz w:val="16"/>
                <w:szCs w:val="16"/>
                <w:lang w:val="lt-LT"/>
              </w:rPr>
              <w:t>d. arba apie šią datą</w:t>
            </w:r>
            <w:r w:rsidR="00880D0A" w:rsidRPr="008048D3">
              <w:rPr>
                <w:rFonts w:ascii="Verdana" w:hAnsi="Verdana"/>
                <w:sz w:val="16"/>
                <w:szCs w:val="16"/>
                <w:lang w:val="lt-LT"/>
              </w:rPr>
              <w:t xml:space="preserve"> Bendrovės interneto svetainėje </w:t>
            </w:r>
            <w:r w:rsidR="000A0E05" w:rsidRPr="008048D3">
              <w:rPr>
                <w:rFonts w:ascii="Verdana" w:hAnsi="Verdana"/>
                <w:sz w:val="16"/>
                <w:szCs w:val="16"/>
                <w:lang w:val="lt-LT"/>
              </w:rPr>
              <w:t>(</w:t>
            </w:r>
            <w:hyperlink r:id="rId12" w:history="1">
              <w:r w:rsidR="000A0E05" w:rsidRPr="008048D3">
                <w:rPr>
                  <w:rStyle w:val="Hyperlink"/>
                  <w:rFonts w:ascii="Verdana" w:hAnsi="Verdana"/>
                  <w:sz w:val="16"/>
                  <w:szCs w:val="16"/>
                  <w:lang w:val="lt-LT"/>
                </w:rPr>
                <w:t>www.auga.lt</w:t>
              </w:r>
            </w:hyperlink>
            <w:r w:rsidR="000A0E05" w:rsidRPr="008048D3">
              <w:rPr>
                <w:rFonts w:ascii="Verdana" w:hAnsi="Verdana"/>
                <w:sz w:val="16"/>
                <w:szCs w:val="16"/>
                <w:lang w:val="lt-LT"/>
              </w:rPr>
              <w:t>)</w:t>
            </w:r>
            <w:r w:rsidR="00880D0A" w:rsidRPr="008048D3">
              <w:rPr>
                <w:rFonts w:ascii="Verdana" w:hAnsi="Verdana"/>
                <w:sz w:val="16"/>
                <w:szCs w:val="16"/>
                <w:lang w:val="lt-LT"/>
              </w:rPr>
              <w:t xml:space="preserve"> ir per </w:t>
            </w:r>
            <w:proofErr w:type="spellStart"/>
            <w:r w:rsidR="000A0E05" w:rsidRPr="008048D3">
              <w:rPr>
                <w:rFonts w:ascii="Verdana" w:hAnsi="Verdana"/>
                <w:sz w:val="16"/>
                <w:szCs w:val="16"/>
                <w:lang w:val="lt-LT"/>
              </w:rPr>
              <w:t>Nasdaq</w:t>
            </w:r>
            <w:proofErr w:type="spellEnd"/>
            <w:r w:rsidR="000A0E05" w:rsidRPr="008048D3">
              <w:rPr>
                <w:rFonts w:ascii="Verdana" w:hAnsi="Verdana"/>
                <w:sz w:val="16"/>
                <w:szCs w:val="16"/>
                <w:lang w:val="lt-LT"/>
              </w:rPr>
              <w:t xml:space="preserve"> Vilnius </w:t>
            </w:r>
            <w:r w:rsidR="00880D0A" w:rsidRPr="008048D3">
              <w:rPr>
                <w:rFonts w:ascii="Verdana" w:hAnsi="Verdana"/>
                <w:sz w:val="16"/>
                <w:szCs w:val="16"/>
                <w:lang w:val="lt-LT"/>
              </w:rPr>
              <w:t xml:space="preserve">ir </w:t>
            </w:r>
            <w:r w:rsidR="000A0E05" w:rsidRPr="008048D3">
              <w:rPr>
                <w:rFonts w:ascii="Verdana" w:hAnsi="Verdana"/>
                <w:sz w:val="16"/>
                <w:szCs w:val="16"/>
                <w:lang w:val="lt-LT"/>
              </w:rPr>
              <w:t xml:space="preserve">WSE. </w:t>
            </w:r>
            <w:r w:rsidR="00880D0A" w:rsidRPr="008048D3">
              <w:rPr>
                <w:rFonts w:ascii="Verdana" w:hAnsi="Verdana"/>
                <w:sz w:val="16"/>
                <w:szCs w:val="16"/>
                <w:lang w:val="lt-LT"/>
              </w:rPr>
              <w:t xml:space="preserve">Kainų pranešimas nebus </w:t>
            </w:r>
            <w:r w:rsidR="000A0E05" w:rsidRPr="008048D3">
              <w:rPr>
                <w:rFonts w:ascii="Verdana" w:hAnsi="Verdana"/>
                <w:sz w:val="16"/>
                <w:szCs w:val="16"/>
                <w:lang w:val="lt-LT"/>
              </w:rPr>
              <w:t>automati</w:t>
            </w:r>
            <w:r w:rsidR="00880D0A" w:rsidRPr="008048D3">
              <w:rPr>
                <w:rFonts w:ascii="Verdana" w:hAnsi="Verdana"/>
                <w:sz w:val="16"/>
                <w:szCs w:val="16"/>
                <w:lang w:val="lt-LT"/>
              </w:rPr>
              <w:t>škai siunčiamas visiems šį Prospektą gavusiems asmenims</w:t>
            </w:r>
            <w:r w:rsidR="000A0E05" w:rsidRPr="008048D3">
              <w:rPr>
                <w:rFonts w:ascii="Verdana" w:hAnsi="Verdana"/>
                <w:sz w:val="16"/>
                <w:szCs w:val="16"/>
                <w:lang w:val="lt-LT"/>
              </w:rPr>
              <w:t>, b</w:t>
            </w:r>
            <w:r w:rsidR="00880D0A" w:rsidRPr="008048D3">
              <w:rPr>
                <w:rFonts w:ascii="Verdana" w:hAnsi="Verdana"/>
                <w:sz w:val="16"/>
                <w:szCs w:val="16"/>
                <w:lang w:val="lt-LT"/>
              </w:rPr>
              <w:t>e</w:t>
            </w:r>
            <w:r w:rsidR="000A0E05" w:rsidRPr="008048D3">
              <w:rPr>
                <w:rFonts w:ascii="Verdana" w:hAnsi="Verdana"/>
                <w:sz w:val="16"/>
                <w:szCs w:val="16"/>
                <w:lang w:val="lt-LT"/>
              </w:rPr>
              <w:t xml:space="preserve">t </w:t>
            </w:r>
            <w:r w:rsidR="00880D0A" w:rsidRPr="008048D3">
              <w:rPr>
                <w:rFonts w:ascii="Verdana" w:hAnsi="Verdana"/>
                <w:sz w:val="16"/>
                <w:szCs w:val="16"/>
                <w:lang w:val="lt-LT"/>
              </w:rPr>
              <w:t xml:space="preserve">su juo bus galima nemokamai susipažinti </w:t>
            </w:r>
            <w:r w:rsidR="004E28BD" w:rsidRPr="008048D3">
              <w:rPr>
                <w:rFonts w:ascii="Verdana" w:hAnsi="Verdana" w:cs="Arial"/>
                <w:sz w:val="16"/>
                <w:szCs w:val="16"/>
                <w:lang w:val="lt-LT"/>
              </w:rPr>
              <w:t>Pasaulinio pagrindinio platintojo</w:t>
            </w:r>
            <w:r w:rsidR="004E28BD" w:rsidRPr="008048D3">
              <w:rPr>
                <w:rFonts w:ascii="Verdana" w:eastAsia="PMingLiU" w:hAnsi="Verdana" w:cs="Arial"/>
                <w:color w:val="000000"/>
                <w:sz w:val="16"/>
                <w:szCs w:val="16"/>
                <w:lang w:val="lt-LT"/>
              </w:rPr>
              <w:t xml:space="preserve"> </w:t>
            </w:r>
            <w:r w:rsidR="00880D0A" w:rsidRPr="008048D3">
              <w:rPr>
                <w:rFonts w:ascii="Verdana" w:eastAsia="PMingLiU" w:hAnsi="Verdana" w:cs="Arial"/>
                <w:color w:val="000000"/>
                <w:sz w:val="16"/>
                <w:szCs w:val="16"/>
                <w:lang w:val="lt-LT"/>
              </w:rPr>
              <w:t xml:space="preserve">registruotoje buveinėje adresu </w:t>
            </w:r>
            <w:r w:rsidR="000A0E05" w:rsidRPr="008048D3">
              <w:rPr>
                <w:rFonts w:ascii="Verdana" w:hAnsi="Verdana"/>
                <w:sz w:val="16"/>
                <w:szCs w:val="16"/>
                <w:lang w:val="lt-LT"/>
              </w:rPr>
              <w:t xml:space="preserve">Tartu </w:t>
            </w:r>
            <w:proofErr w:type="spellStart"/>
            <w:r w:rsidR="000A0E05" w:rsidRPr="008048D3">
              <w:rPr>
                <w:rFonts w:ascii="Verdana" w:hAnsi="Verdana"/>
                <w:sz w:val="16"/>
                <w:szCs w:val="16"/>
                <w:lang w:val="lt-LT"/>
              </w:rPr>
              <w:t>mnt</w:t>
            </w:r>
            <w:proofErr w:type="spellEnd"/>
            <w:r w:rsidR="000A0E05" w:rsidRPr="008048D3">
              <w:rPr>
                <w:rFonts w:ascii="Verdana" w:hAnsi="Verdana"/>
                <w:sz w:val="16"/>
                <w:szCs w:val="16"/>
                <w:lang w:val="lt-LT"/>
              </w:rPr>
              <w:t xml:space="preserve"> 2, 10145 Talin</w:t>
            </w:r>
            <w:r w:rsidR="00880D0A" w:rsidRPr="008048D3">
              <w:rPr>
                <w:rFonts w:ascii="Verdana" w:hAnsi="Verdana"/>
                <w:sz w:val="16"/>
                <w:szCs w:val="16"/>
                <w:lang w:val="lt-LT"/>
              </w:rPr>
              <w:t>as</w:t>
            </w:r>
            <w:r w:rsidR="000A0E05" w:rsidRPr="008048D3">
              <w:rPr>
                <w:rFonts w:ascii="Verdana" w:hAnsi="Verdana"/>
                <w:sz w:val="16"/>
                <w:szCs w:val="16"/>
                <w:lang w:val="lt-LT"/>
              </w:rPr>
              <w:t>, Est</w:t>
            </w:r>
            <w:r w:rsidR="00880D0A" w:rsidRPr="008048D3">
              <w:rPr>
                <w:rFonts w:ascii="Verdana" w:hAnsi="Verdana"/>
                <w:sz w:val="16"/>
                <w:szCs w:val="16"/>
                <w:lang w:val="lt-LT"/>
              </w:rPr>
              <w:t>ija</w:t>
            </w:r>
            <w:r w:rsidR="000A0E05" w:rsidRPr="008048D3">
              <w:rPr>
                <w:rFonts w:ascii="Verdana" w:hAnsi="Verdana"/>
                <w:sz w:val="16"/>
                <w:szCs w:val="16"/>
                <w:lang w:val="lt-LT"/>
              </w:rPr>
              <w:t>.</w:t>
            </w:r>
          </w:p>
          <w:p w14:paraId="6D49D135" w14:textId="77777777" w:rsidR="000A0E05" w:rsidRPr="008048D3" w:rsidRDefault="000A0E05" w:rsidP="000A0E05">
            <w:pPr>
              <w:jc w:val="both"/>
              <w:rPr>
                <w:rFonts w:ascii="Verdana" w:hAnsi="Verdana"/>
                <w:sz w:val="16"/>
                <w:szCs w:val="16"/>
                <w:lang w:val="lt-LT"/>
              </w:rPr>
            </w:pPr>
          </w:p>
          <w:p w14:paraId="23F71323" w14:textId="4C0F842D" w:rsidR="000A0E05" w:rsidRPr="008048D3" w:rsidRDefault="00C72C89" w:rsidP="000A0E05">
            <w:pPr>
              <w:pStyle w:val="KLGIPOBody"/>
              <w:spacing w:before="0" w:after="0" w:line="240" w:lineRule="auto"/>
              <w:rPr>
                <w:rFonts w:ascii="Verdana" w:eastAsia="Calibri" w:hAnsi="Verdana" w:cs="Times New Roman"/>
                <w:sz w:val="16"/>
                <w:szCs w:val="16"/>
                <w:lang w:val="lt-LT"/>
              </w:rPr>
            </w:pPr>
            <w:r w:rsidRPr="008048D3">
              <w:rPr>
                <w:rFonts w:ascii="Verdana" w:hAnsi="Verdana"/>
                <w:sz w:val="16"/>
                <w:szCs w:val="16"/>
                <w:lang w:val="lt-LT"/>
              </w:rPr>
              <w:t xml:space="preserve">Jei Siūlymo kainos ribos pasikeis </w:t>
            </w:r>
            <w:r w:rsidR="000A0E05" w:rsidRPr="008048D3">
              <w:rPr>
                <w:rFonts w:ascii="Verdana" w:hAnsi="Verdana"/>
                <w:sz w:val="16"/>
                <w:szCs w:val="16"/>
                <w:lang w:val="lt-LT"/>
              </w:rPr>
              <w:t>pri</w:t>
            </w:r>
            <w:r w:rsidRPr="008048D3">
              <w:rPr>
                <w:rFonts w:ascii="Verdana" w:hAnsi="Verdana"/>
                <w:sz w:val="16"/>
                <w:szCs w:val="16"/>
                <w:lang w:val="lt-LT"/>
              </w:rPr>
              <w:t>eš paskelbiant galutinę Siūlymo kainą</w:t>
            </w:r>
            <w:r w:rsidR="000A0E05" w:rsidRPr="008048D3">
              <w:rPr>
                <w:rFonts w:ascii="Verdana" w:hAnsi="Verdana"/>
                <w:sz w:val="16"/>
                <w:szCs w:val="16"/>
                <w:lang w:val="lt-LT"/>
              </w:rPr>
              <w:t xml:space="preserve">, </w:t>
            </w:r>
            <w:r w:rsidR="00CD6C29" w:rsidRPr="008048D3">
              <w:rPr>
                <w:rFonts w:ascii="Verdana" w:hAnsi="Verdana"/>
                <w:sz w:val="16"/>
                <w:szCs w:val="16"/>
                <w:lang w:val="lt-LT"/>
              </w:rPr>
              <w:t>pakoreguotos</w:t>
            </w:r>
            <w:r w:rsidR="00D72A53" w:rsidRPr="008048D3">
              <w:rPr>
                <w:rFonts w:ascii="Verdana" w:hAnsi="Verdana"/>
                <w:sz w:val="16"/>
                <w:szCs w:val="16"/>
                <w:lang w:val="lt-LT"/>
              </w:rPr>
              <w:t xml:space="preserve"> Siūlymo kainos ribos bus paskelbtos ir nurodytos kaip galima greičiau ir Bendrovė paskelbs Prospekto priedą, o kiekvienam </w:t>
            </w:r>
            <w:r w:rsidR="000A0E05" w:rsidRPr="008048D3">
              <w:rPr>
                <w:rFonts w:ascii="Verdana" w:hAnsi="Verdana"/>
                <w:sz w:val="16"/>
                <w:szCs w:val="16"/>
                <w:lang w:val="lt-LT"/>
              </w:rPr>
              <w:t>Invest</w:t>
            </w:r>
            <w:r w:rsidR="00D72A53" w:rsidRPr="008048D3">
              <w:rPr>
                <w:rFonts w:ascii="Verdana" w:hAnsi="Verdana"/>
                <w:sz w:val="16"/>
                <w:szCs w:val="16"/>
                <w:lang w:val="lt-LT"/>
              </w:rPr>
              <w:t>uotojui</w:t>
            </w:r>
            <w:r w:rsidR="000A0E05" w:rsidRPr="008048D3">
              <w:rPr>
                <w:rFonts w:ascii="Verdana" w:hAnsi="Verdana"/>
                <w:sz w:val="16"/>
                <w:szCs w:val="16"/>
                <w:lang w:val="lt-LT"/>
              </w:rPr>
              <w:t xml:space="preserve">, </w:t>
            </w:r>
            <w:r w:rsidR="00D72A53" w:rsidRPr="008048D3">
              <w:rPr>
                <w:rFonts w:ascii="Verdana" w:hAnsi="Verdana"/>
                <w:sz w:val="16"/>
                <w:szCs w:val="16"/>
                <w:lang w:val="lt-LT"/>
              </w:rPr>
              <w:t xml:space="preserve">kuris pasirašė Siūlomas akcijas, bus leista pasinaudoti savo teisėmis pasitraukti, kaip nurodyta </w:t>
            </w:r>
            <w:r w:rsidR="004A6C78" w:rsidRPr="008048D3">
              <w:rPr>
                <w:rFonts w:ascii="Verdana" w:hAnsi="Verdana"/>
                <w:sz w:val="16"/>
                <w:szCs w:val="16"/>
                <w:lang w:val="lt-LT"/>
              </w:rPr>
              <w:t xml:space="preserve">dalyje </w:t>
            </w:r>
            <w:r w:rsidR="00D72A53" w:rsidRPr="008048D3">
              <w:rPr>
                <w:rFonts w:ascii="Verdana" w:hAnsi="Verdana"/>
                <w:sz w:val="16"/>
                <w:szCs w:val="16"/>
                <w:lang w:val="lt-LT"/>
              </w:rPr>
              <w:t>„</w:t>
            </w:r>
            <w:r w:rsidR="00D72A53" w:rsidRPr="008048D3">
              <w:rPr>
                <w:rFonts w:ascii="Verdana" w:hAnsi="Verdana"/>
                <w:i/>
                <w:sz w:val="16"/>
                <w:szCs w:val="16"/>
                <w:lang w:val="lt-LT"/>
              </w:rPr>
              <w:t>Siūlymo sąlygų pasikeitimas</w:t>
            </w:r>
            <w:r w:rsidR="00D72A53" w:rsidRPr="008048D3">
              <w:rPr>
                <w:rFonts w:ascii="Verdana" w:hAnsi="Verdana"/>
                <w:sz w:val="16"/>
                <w:szCs w:val="16"/>
                <w:lang w:val="lt-LT"/>
              </w:rPr>
              <w:t>“</w:t>
            </w:r>
            <w:r w:rsidR="000A0E05" w:rsidRPr="008048D3">
              <w:rPr>
                <w:rFonts w:ascii="Verdana" w:hAnsi="Verdana"/>
                <w:sz w:val="16"/>
                <w:szCs w:val="16"/>
                <w:lang w:val="lt-LT"/>
              </w:rPr>
              <w:t xml:space="preserve">. </w:t>
            </w:r>
            <w:r w:rsidR="00D72A53" w:rsidRPr="008048D3">
              <w:rPr>
                <w:rFonts w:ascii="Verdana" w:hAnsi="Verdana"/>
                <w:sz w:val="16"/>
                <w:szCs w:val="16"/>
                <w:lang w:val="lt-LT"/>
              </w:rPr>
              <w:t xml:space="preserve">Visi pranešimai dėl Prospekto ir jo priedų (jei tokių būtų) patvirtinimo, kuriuos turi skelbti Lietuvos bankas pagal Lietuvos įstatymus, bus skelbiami Lietuvos banko interneto svetainėje </w:t>
            </w:r>
            <w:r w:rsidR="000A0E05" w:rsidRPr="008048D3">
              <w:rPr>
                <w:rFonts w:ascii="Verdana" w:hAnsi="Verdana"/>
                <w:sz w:val="16"/>
                <w:szCs w:val="16"/>
                <w:lang w:val="lt-LT"/>
              </w:rPr>
              <w:t>(</w:t>
            </w:r>
            <w:hyperlink r:id="rId13" w:history="1">
              <w:r w:rsidR="000A0E05" w:rsidRPr="008048D3">
                <w:rPr>
                  <w:rStyle w:val="Hyperlink"/>
                  <w:rFonts w:ascii="Verdana" w:hAnsi="Verdana"/>
                  <w:sz w:val="16"/>
                  <w:szCs w:val="16"/>
                  <w:lang w:val="lt-LT"/>
                </w:rPr>
                <w:t>www.lb.lt</w:t>
              </w:r>
            </w:hyperlink>
            <w:r w:rsidR="000A0E05" w:rsidRPr="008048D3">
              <w:rPr>
                <w:rFonts w:ascii="Verdana" w:hAnsi="Verdana"/>
                <w:sz w:val="16"/>
                <w:szCs w:val="16"/>
                <w:lang w:val="lt-LT"/>
              </w:rPr>
              <w:t>).</w:t>
            </w:r>
          </w:p>
          <w:p w14:paraId="178FA970" w14:textId="77777777" w:rsidR="000A0E05" w:rsidRPr="008048D3" w:rsidRDefault="000A0E05" w:rsidP="00D02FEC">
            <w:pPr>
              <w:pStyle w:val="KLGIPOBody"/>
              <w:spacing w:before="0" w:after="0" w:line="240" w:lineRule="auto"/>
              <w:rPr>
                <w:rFonts w:ascii="Verdana" w:eastAsia="Calibri" w:hAnsi="Verdana" w:cs="Times New Roman"/>
                <w:b/>
                <w:sz w:val="16"/>
                <w:szCs w:val="16"/>
                <w:lang w:val="lt-LT"/>
              </w:rPr>
            </w:pPr>
          </w:p>
          <w:p w14:paraId="772FE84F" w14:textId="78D9FF75" w:rsidR="009B1A13" w:rsidRPr="008048D3" w:rsidRDefault="007A18B1" w:rsidP="009B1A13">
            <w:pPr>
              <w:jc w:val="both"/>
              <w:rPr>
                <w:rFonts w:ascii="Verdana" w:hAnsi="Verdana"/>
                <w:b/>
                <w:sz w:val="16"/>
                <w:szCs w:val="16"/>
                <w:lang w:val="lt-LT"/>
              </w:rPr>
            </w:pPr>
            <w:r w:rsidRPr="008048D3">
              <w:rPr>
                <w:rFonts w:ascii="Verdana" w:hAnsi="Verdana"/>
                <w:b/>
                <w:sz w:val="16"/>
                <w:szCs w:val="16"/>
                <w:lang w:val="lt-LT"/>
              </w:rPr>
              <w:t xml:space="preserve">Pasirašymo pavedimų turinys ir jiems taikomi reikalavimai </w:t>
            </w:r>
          </w:p>
          <w:p w14:paraId="03F005F4" w14:textId="77777777" w:rsidR="009B1A13" w:rsidRPr="008048D3" w:rsidRDefault="009B1A13" w:rsidP="009B1A13">
            <w:pPr>
              <w:jc w:val="both"/>
              <w:rPr>
                <w:rFonts w:ascii="Verdana" w:hAnsi="Verdana"/>
                <w:sz w:val="16"/>
                <w:szCs w:val="16"/>
                <w:lang w:val="lt-LT"/>
              </w:rPr>
            </w:pPr>
          </w:p>
          <w:p w14:paraId="2A2120CF" w14:textId="47FD7380" w:rsidR="009B1A13" w:rsidRPr="008048D3" w:rsidRDefault="00022CA9" w:rsidP="009B1A13">
            <w:pPr>
              <w:jc w:val="both"/>
              <w:rPr>
                <w:rFonts w:ascii="Verdana" w:hAnsi="Verdana"/>
                <w:sz w:val="16"/>
                <w:szCs w:val="16"/>
                <w:lang w:val="lt-LT"/>
              </w:rPr>
            </w:pPr>
            <w:r w:rsidRPr="008048D3">
              <w:rPr>
                <w:rFonts w:ascii="Verdana" w:hAnsi="Verdana"/>
                <w:sz w:val="16"/>
                <w:szCs w:val="16"/>
                <w:lang w:val="lt-LT"/>
              </w:rPr>
              <w:t xml:space="preserve">Pasirašymai bus priimami Pasirašymo pavedimo forma lietuvių arba anglų kalba </w:t>
            </w:r>
            <w:r w:rsidR="009B1A13" w:rsidRPr="008048D3">
              <w:rPr>
                <w:rFonts w:ascii="Verdana" w:hAnsi="Verdana"/>
                <w:sz w:val="16"/>
                <w:szCs w:val="16"/>
                <w:lang w:val="lt-LT"/>
              </w:rPr>
              <w:t>(</w:t>
            </w:r>
            <w:r w:rsidR="00245F71" w:rsidRPr="008048D3">
              <w:rPr>
                <w:rFonts w:ascii="Verdana" w:hAnsi="Verdana"/>
                <w:sz w:val="16"/>
                <w:szCs w:val="16"/>
                <w:lang w:val="lt-LT"/>
              </w:rPr>
              <w:t>kai asmenys nėra Lietuvos rezidentai</w:t>
            </w:r>
            <w:r w:rsidR="009B1A13" w:rsidRPr="008048D3">
              <w:rPr>
                <w:rFonts w:ascii="Verdana" w:hAnsi="Verdana"/>
                <w:sz w:val="16"/>
                <w:szCs w:val="16"/>
                <w:lang w:val="lt-LT"/>
              </w:rPr>
              <w:t xml:space="preserve">). </w:t>
            </w:r>
            <w:r w:rsidR="00245F71" w:rsidRPr="008048D3">
              <w:rPr>
                <w:rFonts w:ascii="Verdana" w:hAnsi="Verdana"/>
                <w:sz w:val="16"/>
                <w:szCs w:val="16"/>
                <w:lang w:val="lt-LT"/>
              </w:rPr>
              <w:t xml:space="preserve">Mažmeniniams investuotojams leidžiama pateikti pasirašyto Pasirašymo pavedimo kopiją savo pasirinktai Dalyvaujančiai institucijai </w:t>
            </w:r>
            <w:r w:rsidR="00392E87" w:rsidRPr="008048D3">
              <w:rPr>
                <w:rFonts w:ascii="Verdana" w:hAnsi="Verdana"/>
                <w:sz w:val="16"/>
                <w:szCs w:val="16"/>
                <w:lang w:val="lt-LT"/>
              </w:rPr>
              <w:t xml:space="preserve">(kurių sąrašas pateikiamas internete adresu </w:t>
            </w:r>
            <w:hyperlink r:id="rId14" w:history="1">
              <w:r w:rsidR="00392E87" w:rsidRPr="008048D3">
                <w:rPr>
                  <w:rStyle w:val="Hyperlink"/>
                  <w:rFonts w:ascii="Verdana" w:hAnsi="Verdana"/>
                  <w:sz w:val="16"/>
                  <w:szCs w:val="16"/>
                  <w:lang w:val="lt-LT"/>
                </w:rPr>
                <w:t>http://www.nasdaqbaltic.com/market/?pg=members&amp;lang=en</w:t>
              </w:r>
            </w:hyperlink>
            <w:r w:rsidR="00392E87" w:rsidRPr="008048D3">
              <w:rPr>
                <w:rFonts w:ascii="Verdana" w:hAnsi="Verdana"/>
                <w:sz w:val="16"/>
                <w:szCs w:val="16"/>
                <w:lang w:val="lt-LT"/>
              </w:rPr>
              <w:t xml:space="preserve">) </w:t>
            </w:r>
            <w:r w:rsidR="00245F71" w:rsidRPr="008048D3">
              <w:rPr>
                <w:rFonts w:ascii="Verdana" w:hAnsi="Verdana"/>
                <w:sz w:val="16"/>
                <w:szCs w:val="16"/>
                <w:lang w:val="lt-LT"/>
              </w:rPr>
              <w:t xml:space="preserve">faksu arba elektroniniu paštu </w:t>
            </w:r>
            <w:r w:rsidR="009B1A13" w:rsidRPr="008048D3">
              <w:rPr>
                <w:rFonts w:ascii="Verdana" w:hAnsi="Verdana"/>
                <w:sz w:val="16"/>
                <w:szCs w:val="16"/>
                <w:lang w:val="lt-LT"/>
              </w:rPr>
              <w:t>pri</w:t>
            </w:r>
            <w:r w:rsidR="00245F71" w:rsidRPr="008048D3">
              <w:rPr>
                <w:rFonts w:ascii="Verdana" w:hAnsi="Verdana"/>
                <w:sz w:val="16"/>
                <w:szCs w:val="16"/>
                <w:lang w:val="lt-LT"/>
              </w:rPr>
              <w:t>eš</w:t>
            </w:r>
            <w:r w:rsidR="009B1A13" w:rsidRPr="008048D3">
              <w:rPr>
                <w:rFonts w:ascii="Verdana" w:hAnsi="Verdana"/>
                <w:sz w:val="16"/>
                <w:szCs w:val="16"/>
                <w:lang w:val="lt-LT"/>
              </w:rPr>
              <w:t xml:space="preserve"> </w:t>
            </w:r>
            <w:r w:rsidR="00245F71" w:rsidRPr="008048D3">
              <w:rPr>
                <w:rFonts w:ascii="Verdana" w:hAnsi="Verdana"/>
                <w:sz w:val="16"/>
                <w:szCs w:val="16"/>
                <w:lang w:val="lt-LT"/>
              </w:rPr>
              <w:t>pateikiant originalą savo pasirinktos Dalyvaujančios institucijos biure</w:t>
            </w:r>
            <w:r w:rsidR="009B1A13" w:rsidRPr="008048D3">
              <w:rPr>
                <w:rFonts w:ascii="Verdana" w:hAnsi="Verdana"/>
                <w:sz w:val="16"/>
                <w:szCs w:val="16"/>
                <w:lang w:val="lt-LT"/>
              </w:rPr>
              <w:t xml:space="preserve">. </w:t>
            </w:r>
            <w:r w:rsidR="00245F71" w:rsidRPr="008048D3">
              <w:rPr>
                <w:rFonts w:ascii="Verdana" w:hAnsi="Verdana"/>
                <w:sz w:val="16"/>
                <w:szCs w:val="16"/>
                <w:lang w:val="lt-LT"/>
              </w:rPr>
              <w:t>Originalas turi būti pateiktas pasirinktai Dalyvaujančiai institucijai iki pirmiau nurodyto Pasirašymo laikotarpio pabaigos</w:t>
            </w:r>
            <w:r w:rsidR="009B1A13" w:rsidRPr="008048D3">
              <w:rPr>
                <w:rFonts w:ascii="Verdana" w:hAnsi="Verdana"/>
                <w:sz w:val="16"/>
                <w:szCs w:val="16"/>
                <w:lang w:val="lt-LT"/>
              </w:rPr>
              <w:t>. Institu</w:t>
            </w:r>
            <w:r w:rsidR="00245F71" w:rsidRPr="008048D3">
              <w:rPr>
                <w:rFonts w:ascii="Verdana" w:hAnsi="Verdana"/>
                <w:sz w:val="16"/>
                <w:szCs w:val="16"/>
                <w:lang w:val="lt-LT"/>
              </w:rPr>
              <w:t>ciniams investuotojams leidžiama pateikti pasirašyto Pasirašymo pavedimo kopiją faksu arba elektroniniu paštu savo pasirinktai Dalyvaujančiai institucijai ir jie originalo teikti neprivalo</w:t>
            </w:r>
            <w:r w:rsidR="009B1A13" w:rsidRPr="008048D3">
              <w:rPr>
                <w:rFonts w:ascii="Verdana" w:hAnsi="Verdana"/>
                <w:sz w:val="16"/>
                <w:szCs w:val="16"/>
                <w:lang w:val="lt-LT"/>
              </w:rPr>
              <w:t>.</w:t>
            </w:r>
          </w:p>
          <w:p w14:paraId="53F45D65" w14:textId="77777777" w:rsidR="009B1A13" w:rsidRPr="008048D3" w:rsidRDefault="009B1A13" w:rsidP="009B1A13">
            <w:pPr>
              <w:jc w:val="both"/>
              <w:rPr>
                <w:rFonts w:ascii="Verdana" w:hAnsi="Verdana"/>
                <w:sz w:val="16"/>
                <w:szCs w:val="16"/>
                <w:lang w:val="lt-LT"/>
              </w:rPr>
            </w:pPr>
          </w:p>
          <w:p w14:paraId="60AFCE5F" w14:textId="38F17FC3" w:rsidR="009B1A13" w:rsidRPr="008048D3" w:rsidRDefault="00E10B20" w:rsidP="009B1A13">
            <w:pPr>
              <w:jc w:val="both"/>
              <w:rPr>
                <w:rFonts w:ascii="Verdana" w:hAnsi="Verdana"/>
                <w:sz w:val="16"/>
                <w:szCs w:val="16"/>
                <w:lang w:val="lt-LT"/>
              </w:rPr>
            </w:pPr>
            <w:r w:rsidRPr="008048D3">
              <w:rPr>
                <w:rFonts w:ascii="Verdana" w:hAnsi="Verdana"/>
                <w:sz w:val="16"/>
                <w:szCs w:val="16"/>
                <w:lang w:val="lt-LT"/>
              </w:rPr>
              <w:t>Pasirašymo pavedimuose be kita ko turi būti nurodytas pasirašomų Siūlomų akcijų skaičius</w:t>
            </w:r>
            <w:r w:rsidR="009B1A13" w:rsidRPr="008048D3">
              <w:rPr>
                <w:rFonts w:ascii="Verdana" w:hAnsi="Verdana"/>
                <w:sz w:val="16"/>
                <w:szCs w:val="16"/>
                <w:lang w:val="lt-LT"/>
              </w:rPr>
              <w:t xml:space="preserve">, </w:t>
            </w:r>
            <w:r w:rsidRPr="008048D3">
              <w:rPr>
                <w:rFonts w:ascii="Verdana" w:hAnsi="Verdana"/>
                <w:sz w:val="16"/>
                <w:szCs w:val="16"/>
                <w:lang w:val="lt-LT"/>
              </w:rPr>
              <w:t xml:space="preserve">Siūlymo kaina </w:t>
            </w:r>
            <w:r w:rsidR="009B1A13" w:rsidRPr="008048D3">
              <w:rPr>
                <w:rFonts w:ascii="Verdana" w:hAnsi="Verdana"/>
                <w:sz w:val="16"/>
                <w:szCs w:val="16"/>
                <w:lang w:val="lt-LT"/>
              </w:rPr>
              <w:t>(</w:t>
            </w:r>
            <w:r w:rsidRPr="008048D3">
              <w:rPr>
                <w:rFonts w:ascii="Verdana" w:hAnsi="Verdana"/>
                <w:sz w:val="16"/>
                <w:szCs w:val="16"/>
                <w:lang w:val="lt-LT"/>
              </w:rPr>
              <w:t>už vieną Siūlomą akciją ir bendra suma</w:t>
            </w:r>
            <w:r w:rsidR="009B1A13" w:rsidRPr="008048D3">
              <w:rPr>
                <w:rFonts w:ascii="Verdana" w:hAnsi="Verdana"/>
                <w:sz w:val="16"/>
                <w:szCs w:val="16"/>
                <w:lang w:val="lt-LT"/>
              </w:rPr>
              <w:t>)</w:t>
            </w:r>
            <w:r w:rsidRPr="008048D3">
              <w:rPr>
                <w:rFonts w:ascii="Verdana" w:hAnsi="Verdana"/>
                <w:sz w:val="16"/>
                <w:szCs w:val="16"/>
                <w:lang w:val="lt-LT"/>
              </w:rPr>
              <w:t xml:space="preserve"> ir Investuotojo vertybinių popierių sąskaitos numeris</w:t>
            </w:r>
            <w:r w:rsidR="009B1A13" w:rsidRPr="008048D3">
              <w:rPr>
                <w:rFonts w:ascii="Verdana" w:hAnsi="Verdana"/>
                <w:sz w:val="16"/>
                <w:szCs w:val="16"/>
                <w:lang w:val="lt-LT"/>
              </w:rPr>
              <w:t xml:space="preserve">. </w:t>
            </w:r>
            <w:r w:rsidRPr="008048D3">
              <w:rPr>
                <w:rFonts w:ascii="Verdana" w:hAnsi="Verdana"/>
                <w:sz w:val="16"/>
                <w:szCs w:val="16"/>
                <w:lang w:val="lt-LT"/>
              </w:rPr>
              <w:t>Mažmeniniai investuotojai teik</w:t>
            </w:r>
            <w:r w:rsidR="00CD6C29" w:rsidRPr="008048D3">
              <w:rPr>
                <w:rFonts w:ascii="Verdana" w:hAnsi="Verdana"/>
                <w:sz w:val="16"/>
                <w:szCs w:val="16"/>
                <w:lang w:val="lt-LT"/>
              </w:rPr>
              <w:t>ia</w:t>
            </w:r>
            <w:r w:rsidRPr="008048D3">
              <w:rPr>
                <w:rFonts w:ascii="Verdana" w:hAnsi="Verdana"/>
                <w:sz w:val="16"/>
                <w:szCs w:val="16"/>
                <w:lang w:val="lt-LT"/>
              </w:rPr>
              <w:t xml:space="preserve"> savo pavedimus eurais </w:t>
            </w:r>
            <w:r w:rsidR="009B1A13" w:rsidRPr="008048D3">
              <w:rPr>
                <w:rFonts w:ascii="Verdana" w:hAnsi="Verdana"/>
                <w:sz w:val="16"/>
                <w:szCs w:val="16"/>
                <w:lang w:val="lt-LT"/>
              </w:rPr>
              <w:t>Ma</w:t>
            </w:r>
            <w:r w:rsidRPr="008048D3">
              <w:rPr>
                <w:rFonts w:ascii="Verdana" w:hAnsi="Verdana"/>
                <w:sz w:val="16"/>
                <w:szCs w:val="16"/>
                <w:lang w:val="lt-LT"/>
              </w:rPr>
              <w:t>ks</w:t>
            </w:r>
            <w:r w:rsidR="009B1A13" w:rsidRPr="008048D3">
              <w:rPr>
                <w:rFonts w:ascii="Verdana" w:hAnsi="Verdana"/>
                <w:sz w:val="16"/>
                <w:szCs w:val="16"/>
                <w:lang w:val="lt-LT"/>
              </w:rPr>
              <w:t>im</w:t>
            </w:r>
            <w:r w:rsidRPr="008048D3">
              <w:rPr>
                <w:rFonts w:ascii="Verdana" w:hAnsi="Verdana"/>
                <w:sz w:val="16"/>
                <w:szCs w:val="16"/>
                <w:lang w:val="lt-LT"/>
              </w:rPr>
              <w:t>alia kaina</w:t>
            </w:r>
            <w:r w:rsidR="009B1A13" w:rsidRPr="008048D3">
              <w:rPr>
                <w:rFonts w:ascii="Verdana" w:hAnsi="Verdana"/>
                <w:sz w:val="16"/>
                <w:szCs w:val="16"/>
                <w:lang w:val="lt-LT"/>
              </w:rPr>
              <w:t>. Institu</w:t>
            </w:r>
            <w:r w:rsidRPr="008048D3">
              <w:rPr>
                <w:rFonts w:ascii="Verdana" w:hAnsi="Verdana"/>
                <w:sz w:val="16"/>
                <w:szCs w:val="16"/>
                <w:lang w:val="lt-LT"/>
              </w:rPr>
              <w:t xml:space="preserve">ciniai investuotojai gali pasirinkti kainą </w:t>
            </w:r>
            <w:r w:rsidR="009B1A13" w:rsidRPr="008048D3">
              <w:rPr>
                <w:rFonts w:ascii="Verdana" w:hAnsi="Verdana"/>
                <w:sz w:val="16"/>
                <w:szCs w:val="16"/>
                <w:lang w:val="lt-LT"/>
              </w:rPr>
              <w:t>(</w:t>
            </w:r>
            <w:r w:rsidRPr="008048D3">
              <w:rPr>
                <w:rFonts w:ascii="Verdana" w:hAnsi="Verdana"/>
                <w:sz w:val="16"/>
                <w:szCs w:val="16"/>
                <w:lang w:val="lt-LT"/>
              </w:rPr>
              <w:t>esančią Siūlymo kainos ribose</w:t>
            </w:r>
            <w:r w:rsidR="009B1A13" w:rsidRPr="008048D3">
              <w:rPr>
                <w:rFonts w:ascii="Verdana" w:hAnsi="Verdana"/>
                <w:sz w:val="16"/>
                <w:szCs w:val="16"/>
                <w:lang w:val="lt-LT"/>
              </w:rPr>
              <w:t>)</w:t>
            </w:r>
            <w:r w:rsidRPr="008048D3">
              <w:rPr>
                <w:rFonts w:ascii="Verdana" w:hAnsi="Verdana"/>
                <w:sz w:val="16"/>
                <w:szCs w:val="16"/>
                <w:lang w:val="lt-LT"/>
              </w:rPr>
              <w:t>, už kurią jie norėtų pirkti Siūlomas akcijas</w:t>
            </w:r>
            <w:r w:rsidR="009B1A13" w:rsidRPr="008048D3">
              <w:rPr>
                <w:rFonts w:ascii="Verdana" w:hAnsi="Verdana"/>
                <w:sz w:val="16"/>
                <w:szCs w:val="16"/>
                <w:lang w:val="lt-LT"/>
              </w:rPr>
              <w:t xml:space="preserve">. </w:t>
            </w:r>
            <w:r w:rsidRPr="008048D3">
              <w:rPr>
                <w:rFonts w:ascii="Verdana" w:hAnsi="Verdana"/>
                <w:sz w:val="16"/>
                <w:szCs w:val="16"/>
                <w:lang w:val="lt-LT"/>
              </w:rPr>
              <w:t>Pasirašymo pavedimų f</w:t>
            </w:r>
            <w:r w:rsidR="009B1A13" w:rsidRPr="008048D3">
              <w:rPr>
                <w:rFonts w:ascii="Verdana" w:hAnsi="Verdana"/>
                <w:sz w:val="16"/>
                <w:szCs w:val="16"/>
                <w:lang w:val="lt-LT"/>
              </w:rPr>
              <w:t>orm</w:t>
            </w:r>
            <w:r w:rsidRPr="008048D3">
              <w:rPr>
                <w:rFonts w:ascii="Verdana" w:hAnsi="Verdana"/>
                <w:sz w:val="16"/>
                <w:szCs w:val="16"/>
                <w:lang w:val="lt-LT"/>
              </w:rPr>
              <w:t>as</w:t>
            </w:r>
            <w:r w:rsidR="009B1A13" w:rsidRPr="008048D3">
              <w:rPr>
                <w:rFonts w:ascii="Verdana" w:hAnsi="Verdana"/>
                <w:sz w:val="16"/>
                <w:szCs w:val="16"/>
                <w:lang w:val="lt-LT"/>
              </w:rPr>
              <w:t xml:space="preserve"> </w:t>
            </w:r>
            <w:r w:rsidRPr="008048D3">
              <w:rPr>
                <w:rFonts w:ascii="Verdana" w:hAnsi="Verdana"/>
                <w:sz w:val="16"/>
                <w:szCs w:val="16"/>
                <w:lang w:val="lt-LT"/>
              </w:rPr>
              <w:t xml:space="preserve">pateiks ta finansų įstaiga, per kurią </w:t>
            </w:r>
            <w:r w:rsidR="009B1A13" w:rsidRPr="008048D3">
              <w:rPr>
                <w:rFonts w:ascii="Verdana" w:hAnsi="Verdana"/>
                <w:sz w:val="16"/>
                <w:szCs w:val="16"/>
                <w:lang w:val="lt-LT"/>
              </w:rPr>
              <w:t>Invest</w:t>
            </w:r>
            <w:r w:rsidRPr="008048D3">
              <w:rPr>
                <w:rFonts w:ascii="Verdana" w:hAnsi="Verdana"/>
                <w:sz w:val="16"/>
                <w:szCs w:val="16"/>
                <w:lang w:val="lt-LT"/>
              </w:rPr>
              <w:t>uotojas teiks savo Pasirašymo pavedimą</w:t>
            </w:r>
            <w:r w:rsidR="009B1A13" w:rsidRPr="008048D3">
              <w:rPr>
                <w:rFonts w:ascii="Verdana" w:hAnsi="Verdana"/>
                <w:sz w:val="16"/>
                <w:szCs w:val="16"/>
                <w:lang w:val="lt-LT"/>
              </w:rPr>
              <w:t>.</w:t>
            </w:r>
          </w:p>
          <w:p w14:paraId="538CF4D1" w14:textId="77777777" w:rsidR="009B1A13" w:rsidRPr="008048D3" w:rsidRDefault="009B1A13" w:rsidP="009B1A13">
            <w:pPr>
              <w:jc w:val="both"/>
              <w:rPr>
                <w:rFonts w:ascii="Verdana" w:hAnsi="Verdana"/>
                <w:sz w:val="16"/>
                <w:szCs w:val="16"/>
                <w:lang w:val="lt-LT"/>
              </w:rPr>
            </w:pPr>
          </w:p>
          <w:p w14:paraId="6198DBC0" w14:textId="508E9539" w:rsidR="009B1A13" w:rsidRPr="008048D3" w:rsidRDefault="00027D76" w:rsidP="009B1A13">
            <w:pPr>
              <w:jc w:val="both"/>
              <w:rPr>
                <w:rFonts w:ascii="Verdana" w:hAnsi="Verdana"/>
                <w:sz w:val="16"/>
                <w:szCs w:val="16"/>
                <w:lang w:val="lt-LT"/>
              </w:rPr>
            </w:pPr>
            <w:r w:rsidRPr="008048D3">
              <w:rPr>
                <w:rFonts w:ascii="Verdana" w:hAnsi="Verdana"/>
                <w:sz w:val="16"/>
                <w:szCs w:val="16"/>
                <w:lang w:val="lt-LT"/>
              </w:rPr>
              <w:t xml:space="preserve">Pasirašymo pavedimai gali būti teikiami tik </w:t>
            </w:r>
            <w:r w:rsidR="002C4CF1" w:rsidRPr="008048D3">
              <w:rPr>
                <w:rFonts w:ascii="Verdana" w:hAnsi="Verdana"/>
                <w:sz w:val="16"/>
                <w:szCs w:val="16"/>
                <w:lang w:val="lt-LT"/>
              </w:rPr>
              <w:t>Siūlymo laikotarpiu</w:t>
            </w:r>
            <w:r w:rsidR="009B1A13" w:rsidRPr="008048D3">
              <w:rPr>
                <w:rFonts w:ascii="Verdana" w:hAnsi="Verdana"/>
                <w:sz w:val="16"/>
                <w:szCs w:val="16"/>
                <w:lang w:val="lt-LT"/>
              </w:rPr>
              <w:t xml:space="preserve">, </w:t>
            </w:r>
            <w:r w:rsidR="002C4CF1" w:rsidRPr="008048D3">
              <w:rPr>
                <w:rFonts w:ascii="Verdana" w:hAnsi="Verdana"/>
                <w:sz w:val="16"/>
                <w:szCs w:val="16"/>
                <w:lang w:val="lt-LT"/>
              </w:rPr>
              <w:t>Mažmeninių investuotojų atveju tik už Maksimalią kainą</w:t>
            </w:r>
            <w:r w:rsidR="009B1A13" w:rsidRPr="008048D3">
              <w:rPr>
                <w:rFonts w:ascii="Verdana" w:hAnsi="Verdana"/>
                <w:sz w:val="16"/>
                <w:szCs w:val="16"/>
                <w:lang w:val="lt-LT"/>
              </w:rPr>
              <w:t xml:space="preserve">, </w:t>
            </w:r>
            <w:r w:rsidR="002C4CF1" w:rsidRPr="008048D3">
              <w:rPr>
                <w:rFonts w:ascii="Verdana" w:hAnsi="Verdana"/>
                <w:sz w:val="16"/>
                <w:szCs w:val="16"/>
                <w:lang w:val="lt-LT"/>
              </w:rPr>
              <w:t>Institucinių investuotojų atvej</w:t>
            </w:r>
            <w:r w:rsidR="001704E8" w:rsidRPr="008048D3">
              <w:rPr>
                <w:rFonts w:ascii="Verdana" w:hAnsi="Verdana"/>
                <w:sz w:val="16"/>
                <w:szCs w:val="16"/>
                <w:lang w:val="lt-LT"/>
              </w:rPr>
              <w:t>u</w:t>
            </w:r>
            <w:r w:rsidR="002C4CF1" w:rsidRPr="008048D3">
              <w:rPr>
                <w:rFonts w:ascii="Verdana" w:hAnsi="Verdana"/>
                <w:sz w:val="16"/>
                <w:szCs w:val="16"/>
                <w:lang w:val="lt-LT"/>
              </w:rPr>
              <w:t xml:space="preserve"> tik už kainą Siūlymo kainos ribose</w:t>
            </w:r>
            <w:r w:rsidR="009B1A13" w:rsidRPr="008048D3">
              <w:rPr>
                <w:rFonts w:ascii="Verdana" w:hAnsi="Verdana"/>
                <w:sz w:val="16"/>
                <w:szCs w:val="16"/>
                <w:lang w:val="lt-LT"/>
              </w:rPr>
              <w:t xml:space="preserve">, </w:t>
            </w:r>
            <w:r w:rsidR="002C4CF1" w:rsidRPr="008048D3">
              <w:rPr>
                <w:rFonts w:ascii="Verdana" w:hAnsi="Verdana"/>
                <w:sz w:val="16"/>
                <w:szCs w:val="16"/>
                <w:lang w:val="lt-LT"/>
              </w:rPr>
              <w:t xml:space="preserve">ir tik </w:t>
            </w:r>
            <w:r w:rsidR="009B1A13" w:rsidRPr="008048D3">
              <w:rPr>
                <w:rFonts w:ascii="Verdana" w:hAnsi="Verdana"/>
                <w:sz w:val="16"/>
                <w:szCs w:val="16"/>
                <w:lang w:val="lt-LT"/>
              </w:rPr>
              <w:t>eur</w:t>
            </w:r>
            <w:r w:rsidR="002C4CF1" w:rsidRPr="008048D3">
              <w:rPr>
                <w:rFonts w:ascii="Verdana" w:hAnsi="Verdana"/>
                <w:sz w:val="16"/>
                <w:szCs w:val="16"/>
                <w:lang w:val="lt-LT"/>
              </w:rPr>
              <w:t>ai</w:t>
            </w:r>
            <w:r w:rsidR="009B1A13" w:rsidRPr="008048D3">
              <w:rPr>
                <w:rFonts w:ascii="Verdana" w:hAnsi="Verdana"/>
                <w:sz w:val="16"/>
                <w:szCs w:val="16"/>
                <w:lang w:val="lt-LT"/>
              </w:rPr>
              <w:t xml:space="preserve">s. </w:t>
            </w:r>
            <w:r w:rsidR="002C4CF1" w:rsidRPr="008048D3">
              <w:rPr>
                <w:rFonts w:ascii="Verdana" w:hAnsi="Verdana"/>
                <w:sz w:val="16"/>
                <w:szCs w:val="16"/>
                <w:lang w:val="lt-LT"/>
              </w:rPr>
              <w:t>Jei vienas Investuotojas pateikia keletą Pasirašymo pavedimų</w:t>
            </w:r>
            <w:r w:rsidR="009B1A13" w:rsidRPr="008048D3">
              <w:rPr>
                <w:rFonts w:ascii="Verdana" w:hAnsi="Verdana"/>
                <w:sz w:val="16"/>
                <w:szCs w:val="16"/>
                <w:lang w:val="lt-LT"/>
              </w:rPr>
              <w:t xml:space="preserve">, </w:t>
            </w:r>
            <w:r w:rsidR="002C4CF1" w:rsidRPr="008048D3">
              <w:rPr>
                <w:rFonts w:ascii="Verdana" w:hAnsi="Verdana"/>
                <w:sz w:val="16"/>
                <w:szCs w:val="16"/>
                <w:lang w:val="lt-LT"/>
              </w:rPr>
              <w:t>jie bus sujungti paskirstymo tikslais</w:t>
            </w:r>
            <w:r w:rsidR="009B1A13" w:rsidRPr="008048D3">
              <w:rPr>
                <w:rFonts w:ascii="Verdana" w:hAnsi="Verdana"/>
                <w:sz w:val="16"/>
                <w:szCs w:val="16"/>
                <w:lang w:val="lt-LT"/>
              </w:rPr>
              <w:t xml:space="preserve">. </w:t>
            </w:r>
          </w:p>
          <w:p w14:paraId="40334F2F" w14:textId="77777777" w:rsidR="009B1A13" w:rsidRPr="008048D3" w:rsidRDefault="009B1A13" w:rsidP="009B1A13">
            <w:pPr>
              <w:jc w:val="both"/>
              <w:rPr>
                <w:rFonts w:ascii="Verdana" w:hAnsi="Verdana"/>
                <w:sz w:val="16"/>
                <w:szCs w:val="16"/>
                <w:lang w:val="lt-LT"/>
              </w:rPr>
            </w:pPr>
          </w:p>
          <w:p w14:paraId="0B719046" w14:textId="76228C6B" w:rsidR="009B1A13" w:rsidRPr="008048D3" w:rsidRDefault="002C4CF1" w:rsidP="009B1A13">
            <w:pPr>
              <w:jc w:val="both"/>
              <w:rPr>
                <w:rFonts w:ascii="Verdana" w:hAnsi="Verdana"/>
                <w:sz w:val="16"/>
                <w:szCs w:val="16"/>
                <w:lang w:val="lt-LT"/>
              </w:rPr>
            </w:pPr>
            <w:r w:rsidRPr="008048D3">
              <w:rPr>
                <w:rFonts w:ascii="Verdana" w:hAnsi="Verdana"/>
                <w:sz w:val="16"/>
                <w:szCs w:val="16"/>
                <w:lang w:val="lt-LT"/>
              </w:rPr>
              <w:t xml:space="preserve">Kiekvienas </w:t>
            </w:r>
            <w:r w:rsidR="009B1A13" w:rsidRPr="008048D3">
              <w:rPr>
                <w:rFonts w:ascii="Verdana" w:hAnsi="Verdana"/>
                <w:sz w:val="16"/>
                <w:szCs w:val="16"/>
                <w:lang w:val="lt-LT"/>
              </w:rPr>
              <w:t>Invest</w:t>
            </w:r>
            <w:r w:rsidRPr="008048D3">
              <w:rPr>
                <w:rFonts w:ascii="Verdana" w:hAnsi="Verdana"/>
                <w:sz w:val="16"/>
                <w:szCs w:val="16"/>
                <w:lang w:val="lt-LT"/>
              </w:rPr>
              <w:t xml:space="preserve">uotojas privalo užtikrinti, kad tokio Investuotojo pateiktame Pasirašymo pavedime esanti </w:t>
            </w:r>
            <w:r w:rsidR="009B1A13" w:rsidRPr="008048D3">
              <w:rPr>
                <w:rFonts w:ascii="Verdana" w:hAnsi="Verdana"/>
                <w:sz w:val="16"/>
                <w:szCs w:val="16"/>
                <w:lang w:val="lt-LT"/>
              </w:rPr>
              <w:t>informa</w:t>
            </w:r>
            <w:r w:rsidRPr="008048D3">
              <w:rPr>
                <w:rFonts w:ascii="Verdana" w:hAnsi="Verdana"/>
                <w:sz w:val="16"/>
                <w:szCs w:val="16"/>
                <w:lang w:val="lt-LT"/>
              </w:rPr>
              <w:t>cija būtų teisinga</w:t>
            </w:r>
            <w:r w:rsidR="009B1A13" w:rsidRPr="008048D3">
              <w:rPr>
                <w:rFonts w:ascii="Verdana" w:hAnsi="Verdana"/>
                <w:sz w:val="16"/>
                <w:szCs w:val="16"/>
                <w:lang w:val="lt-LT"/>
              </w:rPr>
              <w:t xml:space="preserve">, </w:t>
            </w:r>
            <w:r w:rsidRPr="008048D3">
              <w:rPr>
                <w:rFonts w:ascii="Verdana" w:hAnsi="Verdana"/>
                <w:sz w:val="16"/>
                <w:szCs w:val="16"/>
                <w:lang w:val="lt-LT"/>
              </w:rPr>
              <w:t>išsami ir įskaitoma</w:t>
            </w:r>
            <w:r w:rsidR="009B1A13" w:rsidRPr="008048D3">
              <w:rPr>
                <w:rFonts w:ascii="Verdana" w:hAnsi="Verdana"/>
                <w:sz w:val="16"/>
                <w:szCs w:val="16"/>
                <w:lang w:val="lt-LT"/>
              </w:rPr>
              <w:t xml:space="preserve">. </w:t>
            </w:r>
            <w:r w:rsidRPr="008048D3">
              <w:rPr>
                <w:rFonts w:ascii="Verdana" w:hAnsi="Verdana"/>
                <w:sz w:val="16"/>
                <w:szCs w:val="16"/>
                <w:lang w:val="lt-LT"/>
              </w:rPr>
              <w:t>Bendrovė savo nuožiūra gali atmesti neišsamius, neteisingus, neaiškius arba neįskaitomus Pasirašymo pavedimus arba Pasirašymo pavedimus, kurie kaip nors kitaip neatitinka šiame Prospekte išdėstytų sąlygų arba kurie buvo pateikti neužpildyti ir (arba) prie kurių nepridėti reikiami papildom</w:t>
            </w:r>
            <w:r w:rsidR="00CD6C29" w:rsidRPr="008048D3">
              <w:rPr>
                <w:rFonts w:ascii="Verdana" w:hAnsi="Verdana"/>
                <w:sz w:val="16"/>
                <w:szCs w:val="16"/>
                <w:lang w:val="lt-LT"/>
              </w:rPr>
              <w:t>i</w:t>
            </w:r>
            <w:r w:rsidRPr="008048D3">
              <w:rPr>
                <w:rFonts w:ascii="Verdana" w:hAnsi="Verdana"/>
                <w:sz w:val="16"/>
                <w:szCs w:val="16"/>
                <w:lang w:val="lt-LT"/>
              </w:rPr>
              <w:t xml:space="preserve"> dokumentai</w:t>
            </w:r>
            <w:r w:rsidR="009B1A13" w:rsidRPr="008048D3">
              <w:rPr>
                <w:rFonts w:ascii="Verdana" w:hAnsi="Verdana"/>
                <w:sz w:val="16"/>
                <w:szCs w:val="16"/>
                <w:lang w:val="lt-LT"/>
              </w:rPr>
              <w:t xml:space="preserve">, </w:t>
            </w:r>
            <w:r w:rsidRPr="008048D3">
              <w:rPr>
                <w:rFonts w:ascii="Verdana" w:hAnsi="Verdana"/>
                <w:sz w:val="16"/>
                <w:szCs w:val="16"/>
                <w:lang w:val="lt-LT"/>
              </w:rPr>
              <w:t xml:space="preserve">kurių reikalauja Emitentas arba </w:t>
            </w:r>
            <w:r w:rsidR="004E28BD" w:rsidRPr="008048D3">
              <w:rPr>
                <w:rFonts w:ascii="Verdana" w:hAnsi="Verdana"/>
                <w:sz w:val="16"/>
                <w:szCs w:val="16"/>
                <w:lang w:val="lt-LT"/>
              </w:rPr>
              <w:t>Pasaulini</w:t>
            </w:r>
            <w:r w:rsidRPr="008048D3">
              <w:rPr>
                <w:rFonts w:ascii="Verdana" w:hAnsi="Verdana"/>
                <w:sz w:val="16"/>
                <w:szCs w:val="16"/>
                <w:lang w:val="lt-LT"/>
              </w:rPr>
              <w:t>s</w:t>
            </w:r>
            <w:r w:rsidR="004E28BD" w:rsidRPr="008048D3">
              <w:rPr>
                <w:rFonts w:ascii="Verdana" w:hAnsi="Verdana"/>
                <w:sz w:val="16"/>
                <w:szCs w:val="16"/>
                <w:lang w:val="lt-LT"/>
              </w:rPr>
              <w:t xml:space="preserve"> pagrindini</w:t>
            </w:r>
            <w:r w:rsidRPr="008048D3">
              <w:rPr>
                <w:rFonts w:ascii="Verdana" w:hAnsi="Verdana"/>
                <w:sz w:val="16"/>
                <w:szCs w:val="16"/>
                <w:lang w:val="lt-LT"/>
              </w:rPr>
              <w:t>s</w:t>
            </w:r>
            <w:r w:rsidR="004E28BD" w:rsidRPr="008048D3">
              <w:rPr>
                <w:rFonts w:ascii="Verdana" w:hAnsi="Verdana"/>
                <w:sz w:val="16"/>
                <w:szCs w:val="16"/>
                <w:lang w:val="lt-LT"/>
              </w:rPr>
              <w:t xml:space="preserve"> platintoj</w:t>
            </w:r>
            <w:r w:rsidRPr="008048D3">
              <w:rPr>
                <w:rFonts w:ascii="Verdana" w:hAnsi="Verdana"/>
                <w:sz w:val="16"/>
                <w:szCs w:val="16"/>
                <w:lang w:val="lt-LT"/>
              </w:rPr>
              <w:t>as</w:t>
            </w:r>
            <w:r w:rsidR="009B1A13" w:rsidRPr="008048D3">
              <w:rPr>
                <w:rFonts w:ascii="Verdana" w:hAnsi="Verdana"/>
                <w:sz w:val="16"/>
                <w:szCs w:val="16"/>
                <w:lang w:val="lt-LT"/>
              </w:rPr>
              <w:t>.</w:t>
            </w:r>
          </w:p>
          <w:p w14:paraId="1EB88AE0" w14:textId="77777777" w:rsidR="009B1A13" w:rsidRPr="008048D3" w:rsidRDefault="009B1A13" w:rsidP="009B1A13">
            <w:pPr>
              <w:jc w:val="both"/>
              <w:rPr>
                <w:rFonts w:ascii="Verdana" w:hAnsi="Verdana"/>
                <w:sz w:val="16"/>
                <w:szCs w:val="16"/>
                <w:lang w:val="lt-LT"/>
              </w:rPr>
            </w:pPr>
          </w:p>
          <w:p w14:paraId="28B464C1" w14:textId="7A6DDBA5" w:rsidR="009B1A13" w:rsidRPr="008048D3" w:rsidRDefault="002C4CF1" w:rsidP="009B1A13">
            <w:pPr>
              <w:jc w:val="both"/>
              <w:rPr>
                <w:rFonts w:ascii="Verdana" w:hAnsi="Verdana"/>
                <w:sz w:val="16"/>
                <w:szCs w:val="16"/>
                <w:lang w:val="lt-LT"/>
              </w:rPr>
            </w:pPr>
            <w:r w:rsidRPr="008048D3">
              <w:rPr>
                <w:rFonts w:ascii="Verdana" w:hAnsi="Verdana"/>
                <w:sz w:val="16"/>
                <w:szCs w:val="16"/>
                <w:lang w:val="lt-LT"/>
              </w:rPr>
              <w:lastRenderedPageBreak/>
              <w:t xml:space="preserve">Investuotojas gali pateikti Pasirašymo pavedimą arba asmeniškai, arba per atstovą, kurį Investuotojas įgaliojo </w:t>
            </w:r>
            <w:r w:rsidR="009B1A13" w:rsidRPr="008048D3">
              <w:rPr>
                <w:rFonts w:ascii="Verdana" w:hAnsi="Verdana"/>
                <w:sz w:val="16"/>
                <w:szCs w:val="16"/>
                <w:lang w:val="lt-LT"/>
              </w:rPr>
              <w:t>(</w:t>
            </w:r>
            <w:r w:rsidRPr="008048D3">
              <w:rPr>
                <w:rFonts w:ascii="Verdana" w:hAnsi="Verdana"/>
                <w:sz w:val="16"/>
                <w:szCs w:val="16"/>
                <w:lang w:val="lt-LT"/>
              </w:rPr>
              <w:t xml:space="preserve">tokia </w:t>
            </w:r>
            <w:r w:rsidR="009B1A13" w:rsidRPr="008048D3">
              <w:rPr>
                <w:rFonts w:ascii="Verdana" w:hAnsi="Verdana"/>
                <w:sz w:val="16"/>
                <w:szCs w:val="16"/>
                <w:lang w:val="lt-LT"/>
              </w:rPr>
              <w:t>form</w:t>
            </w:r>
            <w:r w:rsidR="00CD6C29" w:rsidRPr="008048D3">
              <w:rPr>
                <w:rFonts w:ascii="Verdana" w:hAnsi="Verdana"/>
                <w:sz w:val="16"/>
                <w:szCs w:val="16"/>
                <w:lang w:val="lt-LT"/>
              </w:rPr>
              <w:t>a</w:t>
            </w:r>
            <w:r w:rsidRPr="008048D3">
              <w:rPr>
                <w:rFonts w:ascii="Verdana" w:hAnsi="Verdana"/>
                <w:sz w:val="16"/>
                <w:szCs w:val="16"/>
                <w:lang w:val="lt-LT"/>
              </w:rPr>
              <w:t>, kurios reikalauja šalies teisės aktai ir atitinkama finansų įstaiga</w:t>
            </w:r>
            <w:r w:rsidR="009B1A13" w:rsidRPr="008048D3">
              <w:rPr>
                <w:rFonts w:ascii="Verdana" w:hAnsi="Verdana"/>
                <w:sz w:val="16"/>
                <w:szCs w:val="16"/>
                <w:lang w:val="lt-LT"/>
              </w:rPr>
              <w:t xml:space="preserve">) </w:t>
            </w:r>
            <w:r w:rsidRPr="008048D3">
              <w:rPr>
                <w:rFonts w:ascii="Verdana" w:hAnsi="Verdana"/>
                <w:sz w:val="16"/>
                <w:szCs w:val="16"/>
                <w:lang w:val="lt-LT"/>
              </w:rPr>
              <w:t>pateikti Pasirašymo pavedimą</w:t>
            </w:r>
            <w:r w:rsidR="009B1A13" w:rsidRPr="008048D3">
              <w:rPr>
                <w:rFonts w:ascii="Verdana" w:hAnsi="Verdana"/>
                <w:sz w:val="16"/>
                <w:szCs w:val="16"/>
                <w:lang w:val="lt-LT"/>
              </w:rPr>
              <w:t xml:space="preserve">. </w:t>
            </w:r>
            <w:r w:rsidRPr="008048D3">
              <w:rPr>
                <w:rFonts w:ascii="Verdana" w:hAnsi="Verdana"/>
                <w:sz w:val="16"/>
                <w:szCs w:val="16"/>
                <w:lang w:val="lt-LT"/>
              </w:rPr>
              <w:t>Smulkesn</w:t>
            </w:r>
            <w:r w:rsidR="00E27C0C" w:rsidRPr="008048D3">
              <w:rPr>
                <w:rFonts w:ascii="Verdana" w:hAnsi="Verdana"/>
                <w:sz w:val="16"/>
                <w:szCs w:val="16"/>
                <w:lang w:val="lt-LT"/>
              </w:rPr>
              <w:t xml:space="preserve">ę </w:t>
            </w:r>
            <w:r w:rsidR="009B1A13" w:rsidRPr="008048D3">
              <w:rPr>
                <w:rFonts w:ascii="Verdana" w:hAnsi="Verdana"/>
                <w:sz w:val="16"/>
                <w:szCs w:val="16"/>
                <w:lang w:val="lt-LT"/>
              </w:rPr>
              <w:t>informa</w:t>
            </w:r>
            <w:r w:rsidRPr="008048D3">
              <w:rPr>
                <w:rFonts w:ascii="Verdana" w:hAnsi="Verdana"/>
                <w:sz w:val="16"/>
                <w:szCs w:val="16"/>
                <w:lang w:val="lt-LT"/>
              </w:rPr>
              <w:t xml:space="preserve">ciją apie Investuotojų </w:t>
            </w:r>
            <w:r w:rsidR="009B1A13" w:rsidRPr="008048D3">
              <w:rPr>
                <w:rFonts w:ascii="Verdana" w:hAnsi="Verdana"/>
                <w:sz w:val="16"/>
                <w:szCs w:val="16"/>
                <w:lang w:val="lt-LT"/>
              </w:rPr>
              <w:t>identifi</w:t>
            </w:r>
            <w:r w:rsidRPr="008048D3">
              <w:rPr>
                <w:rFonts w:ascii="Verdana" w:hAnsi="Verdana"/>
                <w:sz w:val="16"/>
                <w:szCs w:val="16"/>
                <w:lang w:val="lt-LT"/>
              </w:rPr>
              <w:t>kavimą</w:t>
            </w:r>
            <w:r w:rsidR="009B1A13" w:rsidRPr="008048D3">
              <w:rPr>
                <w:rFonts w:ascii="Verdana" w:hAnsi="Verdana"/>
                <w:sz w:val="16"/>
                <w:szCs w:val="16"/>
                <w:lang w:val="lt-LT"/>
              </w:rPr>
              <w:t xml:space="preserve">, </w:t>
            </w:r>
            <w:r w:rsidRPr="008048D3">
              <w:rPr>
                <w:rFonts w:ascii="Verdana" w:hAnsi="Verdana"/>
                <w:sz w:val="16"/>
                <w:szCs w:val="16"/>
                <w:lang w:val="lt-LT"/>
              </w:rPr>
              <w:t xml:space="preserve">įskaitant reikalavimus </w:t>
            </w:r>
            <w:r w:rsidR="00E27C0C" w:rsidRPr="008048D3">
              <w:rPr>
                <w:rFonts w:ascii="Verdana" w:hAnsi="Verdana"/>
                <w:sz w:val="16"/>
                <w:szCs w:val="16"/>
                <w:lang w:val="lt-LT"/>
              </w:rPr>
              <w:t>pateikiamiems dokumentams ir veikimo per įgaliotus atstovus taisykles</w:t>
            </w:r>
            <w:r w:rsidR="009B1A13" w:rsidRPr="008048D3">
              <w:rPr>
                <w:rFonts w:ascii="Verdana" w:hAnsi="Verdana"/>
                <w:sz w:val="16"/>
                <w:szCs w:val="16"/>
                <w:lang w:val="lt-LT"/>
              </w:rPr>
              <w:t>, Invest</w:t>
            </w:r>
            <w:r w:rsidR="00E27C0C" w:rsidRPr="008048D3">
              <w:rPr>
                <w:rFonts w:ascii="Verdana" w:hAnsi="Verdana"/>
                <w:sz w:val="16"/>
                <w:szCs w:val="16"/>
                <w:lang w:val="lt-LT"/>
              </w:rPr>
              <w:t>uotojai gali gauti iš Pasirašymo pavedimus priimančių subjektų</w:t>
            </w:r>
            <w:r w:rsidR="009B1A13" w:rsidRPr="008048D3">
              <w:rPr>
                <w:rFonts w:ascii="Verdana" w:hAnsi="Verdana"/>
                <w:sz w:val="16"/>
                <w:szCs w:val="16"/>
                <w:lang w:val="lt-LT"/>
              </w:rPr>
              <w:t>.</w:t>
            </w:r>
          </w:p>
          <w:p w14:paraId="2B8A0E7D" w14:textId="77777777" w:rsidR="009B1A13" w:rsidRPr="008048D3" w:rsidRDefault="009B1A13" w:rsidP="009B1A13">
            <w:pPr>
              <w:jc w:val="both"/>
              <w:rPr>
                <w:rFonts w:ascii="Verdana" w:hAnsi="Verdana"/>
                <w:sz w:val="16"/>
                <w:szCs w:val="16"/>
                <w:lang w:val="lt-LT"/>
              </w:rPr>
            </w:pPr>
          </w:p>
          <w:p w14:paraId="6A5AAB19" w14:textId="13430ADC" w:rsidR="009B1A13" w:rsidRPr="008048D3" w:rsidRDefault="00DD41FF" w:rsidP="009B1A13">
            <w:pPr>
              <w:jc w:val="both"/>
              <w:rPr>
                <w:rFonts w:ascii="Verdana" w:hAnsi="Verdana"/>
                <w:sz w:val="16"/>
                <w:szCs w:val="16"/>
                <w:lang w:val="lt-LT"/>
              </w:rPr>
            </w:pPr>
            <w:r w:rsidRPr="008048D3">
              <w:rPr>
                <w:rFonts w:ascii="Verdana" w:hAnsi="Verdana"/>
                <w:sz w:val="16"/>
                <w:szCs w:val="16"/>
                <w:lang w:val="lt-LT"/>
              </w:rPr>
              <w:t xml:space="preserve">Kiekvienas </w:t>
            </w:r>
            <w:r w:rsidR="009B1A13" w:rsidRPr="008048D3">
              <w:rPr>
                <w:rFonts w:ascii="Verdana" w:hAnsi="Verdana"/>
                <w:sz w:val="16"/>
                <w:szCs w:val="16"/>
                <w:lang w:val="lt-LT"/>
              </w:rPr>
              <w:t>Invest</w:t>
            </w:r>
            <w:r w:rsidRPr="008048D3">
              <w:rPr>
                <w:rFonts w:ascii="Verdana" w:hAnsi="Verdana"/>
                <w:sz w:val="16"/>
                <w:szCs w:val="16"/>
                <w:lang w:val="lt-LT"/>
              </w:rPr>
              <w:t xml:space="preserve">uotojas gali pasirašyti ne mažiau kaip </w:t>
            </w:r>
            <w:r w:rsidR="007C23A9" w:rsidRPr="008048D3">
              <w:rPr>
                <w:rFonts w:ascii="Verdana" w:hAnsi="Verdana"/>
                <w:sz w:val="16"/>
                <w:szCs w:val="16"/>
                <w:lang w:val="lt-LT"/>
              </w:rPr>
              <w:t xml:space="preserve">vieną </w:t>
            </w:r>
            <w:r w:rsidRPr="008048D3">
              <w:rPr>
                <w:rFonts w:ascii="Verdana" w:hAnsi="Verdana"/>
                <w:sz w:val="16"/>
                <w:szCs w:val="16"/>
                <w:lang w:val="lt-LT"/>
              </w:rPr>
              <w:t>šimtą Siūlomų akcijų</w:t>
            </w:r>
            <w:r w:rsidR="009B1A13" w:rsidRPr="008048D3">
              <w:rPr>
                <w:rFonts w:ascii="Verdana" w:hAnsi="Verdana"/>
                <w:sz w:val="16"/>
                <w:szCs w:val="16"/>
                <w:lang w:val="lt-LT"/>
              </w:rPr>
              <w:t>.</w:t>
            </w:r>
          </w:p>
          <w:p w14:paraId="3362C82E" w14:textId="77777777" w:rsidR="009B1A13" w:rsidRPr="008048D3" w:rsidRDefault="009B1A13" w:rsidP="009B1A13">
            <w:pPr>
              <w:jc w:val="both"/>
              <w:rPr>
                <w:rFonts w:ascii="Verdana" w:hAnsi="Verdana"/>
                <w:sz w:val="16"/>
                <w:szCs w:val="16"/>
                <w:lang w:val="lt-LT"/>
              </w:rPr>
            </w:pPr>
          </w:p>
          <w:p w14:paraId="6FA66E57" w14:textId="324CF703" w:rsidR="009B1A13" w:rsidRPr="008048D3" w:rsidRDefault="00E63C50" w:rsidP="009B1A13">
            <w:pPr>
              <w:jc w:val="both"/>
              <w:rPr>
                <w:rFonts w:ascii="Verdana" w:hAnsi="Verdana"/>
                <w:sz w:val="16"/>
                <w:szCs w:val="16"/>
                <w:lang w:val="lt-LT"/>
              </w:rPr>
            </w:pPr>
            <w:r w:rsidRPr="008048D3">
              <w:rPr>
                <w:rFonts w:ascii="Verdana" w:hAnsi="Verdana"/>
                <w:sz w:val="16"/>
                <w:szCs w:val="16"/>
                <w:lang w:val="lt-LT"/>
              </w:rPr>
              <w:t>Pasirašymo pavedimų pateikimo metu</w:t>
            </w:r>
            <w:r w:rsidR="009B1A13" w:rsidRPr="008048D3">
              <w:rPr>
                <w:rFonts w:ascii="Verdana" w:hAnsi="Verdana"/>
                <w:sz w:val="16"/>
                <w:szCs w:val="16"/>
                <w:lang w:val="lt-LT"/>
              </w:rPr>
              <w:t xml:space="preserve"> Invest</w:t>
            </w:r>
            <w:r w:rsidRPr="008048D3">
              <w:rPr>
                <w:rFonts w:ascii="Verdana" w:hAnsi="Verdana"/>
                <w:sz w:val="16"/>
                <w:szCs w:val="16"/>
                <w:lang w:val="lt-LT"/>
              </w:rPr>
              <w:t>uotojai privalo pateikti neatšaukiamą nurody</w:t>
            </w:r>
            <w:r w:rsidR="00CD6C29" w:rsidRPr="008048D3">
              <w:rPr>
                <w:rFonts w:ascii="Verdana" w:hAnsi="Verdana"/>
                <w:sz w:val="16"/>
                <w:szCs w:val="16"/>
                <w:lang w:val="lt-LT"/>
              </w:rPr>
              <w:t>m</w:t>
            </w:r>
            <w:r w:rsidRPr="008048D3">
              <w:rPr>
                <w:rFonts w:ascii="Verdana" w:hAnsi="Verdana"/>
                <w:sz w:val="16"/>
                <w:szCs w:val="16"/>
                <w:lang w:val="lt-LT"/>
              </w:rPr>
              <w:t xml:space="preserve">ą deponuoti Siūlomas akcijas jų vardu tvarkomoje vertybinių popierių sąskaitoje, atidarytoje pas jų pasirinktus subjektus, turinčius licenciją teikti tokias paslaugas Lietuvos </w:t>
            </w:r>
            <w:r w:rsidR="009B1A13" w:rsidRPr="008048D3">
              <w:rPr>
                <w:rFonts w:ascii="Verdana" w:hAnsi="Verdana"/>
                <w:sz w:val="16"/>
                <w:szCs w:val="16"/>
                <w:lang w:val="lt-LT"/>
              </w:rPr>
              <w:t>teritor</w:t>
            </w:r>
            <w:r w:rsidRPr="008048D3">
              <w:rPr>
                <w:rFonts w:ascii="Verdana" w:hAnsi="Verdana"/>
                <w:sz w:val="16"/>
                <w:szCs w:val="16"/>
                <w:lang w:val="lt-LT"/>
              </w:rPr>
              <w:t>ijoje</w:t>
            </w:r>
            <w:r w:rsidR="009B1A13" w:rsidRPr="008048D3">
              <w:rPr>
                <w:rFonts w:ascii="Verdana" w:hAnsi="Verdana"/>
                <w:sz w:val="16"/>
                <w:szCs w:val="16"/>
                <w:lang w:val="lt-LT"/>
              </w:rPr>
              <w:t>.</w:t>
            </w:r>
          </w:p>
          <w:p w14:paraId="5EE3F371" w14:textId="77777777" w:rsidR="009B1A13" w:rsidRPr="008048D3" w:rsidRDefault="009B1A13" w:rsidP="009B1A13">
            <w:pPr>
              <w:jc w:val="both"/>
              <w:rPr>
                <w:rFonts w:ascii="Verdana" w:hAnsi="Verdana"/>
                <w:sz w:val="16"/>
                <w:szCs w:val="16"/>
                <w:lang w:val="lt-LT"/>
              </w:rPr>
            </w:pPr>
          </w:p>
          <w:p w14:paraId="69FF2F5C" w14:textId="021EA6C0" w:rsidR="009B1A13" w:rsidRPr="008048D3" w:rsidRDefault="00D20E7C" w:rsidP="009B1A13">
            <w:pPr>
              <w:jc w:val="both"/>
              <w:rPr>
                <w:rFonts w:ascii="Verdana" w:hAnsi="Verdana"/>
                <w:sz w:val="16"/>
                <w:szCs w:val="16"/>
                <w:lang w:val="lt-LT"/>
              </w:rPr>
            </w:pPr>
            <w:r w:rsidRPr="008048D3">
              <w:rPr>
                <w:rFonts w:ascii="Verdana" w:hAnsi="Verdana"/>
                <w:sz w:val="16"/>
                <w:szCs w:val="16"/>
                <w:lang w:val="lt-LT"/>
              </w:rPr>
              <w:t>Pasirašymo pavedimo dėl Siūlomų akcijų neteisingo užpild</w:t>
            </w:r>
            <w:r w:rsidR="00CD6C29" w:rsidRPr="008048D3">
              <w:rPr>
                <w:rFonts w:ascii="Verdana" w:hAnsi="Verdana"/>
                <w:sz w:val="16"/>
                <w:szCs w:val="16"/>
                <w:lang w:val="lt-LT"/>
              </w:rPr>
              <w:t>y</w:t>
            </w:r>
            <w:r w:rsidRPr="008048D3">
              <w:rPr>
                <w:rFonts w:ascii="Verdana" w:hAnsi="Verdana"/>
                <w:sz w:val="16"/>
                <w:szCs w:val="16"/>
                <w:lang w:val="lt-LT"/>
              </w:rPr>
              <w:t xml:space="preserve">mo pasekmės tenka </w:t>
            </w:r>
            <w:r w:rsidR="009B1A13" w:rsidRPr="008048D3">
              <w:rPr>
                <w:rFonts w:ascii="Verdana" w:hAnsi="Verdana"/>
                <w:sz w:val="16"/>
                <w:szCs w:val="16"/>
                <w:lang w:val="lt-LT"/>
              </w:rPr>
              <w:t>Invest</w:t>
            </w:r>
            <w:r w:rsidRPr="008048D3">
              <w:rPr>
                <w:rFonts w:ascii="Verdana" w:hAnsi="Verdana"/>
                <w:sz w:val="16"/>
                <w:szCs w:val="16"/>
                <w:lang w:val="lt-LT"/>
              </w:rPr>
              <w:t>uotojui</w:t>
            </w:r>
            <w:r w:rsidR="009B1A13" w:rsidRPr="008048D3">
              <w:rPr>
                <w:rFonts w:ascii="Verdana" w:hAnsi="Verdana"/>
                <w:sz w:val="16"/>
                <w:szCs w:val="16"/>
                <w:lang w:val="lt-LT"/>
              </w:rPr>
              <w:t>.</w:t>
            </w:r>
          </w:p>
          <w:p w14:paraId="7DC8B92E" w14:textId="77777777" w:rsidR="009B1A13" w:rsidRPr="008048D3" w:rsidRDefault="009B1A13" w:rsidP="009B1A13">
            <w:pPr>
              <w:jc w:val="both"/>
              <w:rPr>
                <w:rFonts w:ascii="Verdana" w:hAnsi="Verdana"/>
                <w:sz w:val="16"/>
                <w:szCs w:val="16"/>
                <w:lang w:val="lt-LT"/>
              </w:rPr>
            </w:pPr>
          </w:p>
          <w:p w14:paraId="187514F9" w14:textId="016B271E" w:rsidR="009B1A13" w:rsidRPr="008048D3" w:rsidRDefault="00AF405A" w:rsidP="009B1A13">
            <w:pPr>
              <w:jc w:val="both"/>
              <w:rPr>
                <w:rFonts w:ascii="Verdana" w:hAnsi="Verdana"/>
                <w:sz w:val="16"/>
                <w:szCs w:val="16"/>
                <w:lang w:val="lt-LT"/>
              </w:rPr>
            </w:pPr>
            <w:r w:rsidRPr="008048D3">
              <w:rPr>
                <w:rFonts w:ascii="Verdana" w:hAnsi="Verdana"/>
                <w:sz w:val="16"/>
                <w:szCs w:val="16"/>
                <w:lang w:val="lt-LT"/>
              </w:rPr>
              <w:t>Investuotojų pateikti Pasirašymo pavedimai</w:t>
            </w:r>
            <w:r w:rsidR="009B1A13" w:rsidRPr="008048D3">
              <w:rPr>
                <w:rFonts w:ascii="Verdana" w:hAnsi="Verdana"/>
                <w:sz w:val="16"/>
                <w:szCs w:val="16"/>
                <w:lang w:val="lt-LT"/>
              </w:rPr>
              <w:t xml:space="preserve">, </w:t>
            </w:r>
            <w:r w:rsidR="00A4436C" w:rsidRPr="008048D3">
              <w:rPr>
                <w:rFonts w:ascii="Verdana" w:hAnsi="Verdana"/>
                <w:sz w:val="16"/>
                <w:szCs w:val="16"/>
                <w:lang w:val="lt-LT"/>
              </w:rPr>
              <w:t xml:space="preserve">kuriems bus paskirstomos Siūlomos akcijos </w:t>
            </w:r>
            <w:r w:rsidR="009B1A13" w:rsidRPr="008048D3">
              <w:rPr>
                <w:rFonts w:ascii="Verdana" w:hAnsi="Verdana"/>
                <w:sz w:val="16"/>
                <w:szCs w:val="16"/>
                <w:lang w:val="lt-LT"/>
              </w:rPr>
              <w:t>(</w:t>
            </w:r>
            <w:r w:rsidR="00A4436C" w:rsidRPr="008048D3">
              <w:rPr>
                <w:rFonts w:ascii="Verdana" w:hAnsi="Verdana"/>
                <w:sz w:val="16"/>
                <w:szCs w:val="16"/>
                <w:lang w:val="lt-LT"/>
              </w:rPr>
              <w:t>atitinkama</w:t>
            </w:r>
            <w:r w:rsidR="00CD6C29" w:rsidRPr="008048D3">
              <w:rPr>
                <w:rFonts w:ascii="Verdana" w:hAnsi="Verdana"/>
                <w:sz w:val="16"/>
                <w:szCs w:val="16"/>
                <w:lang w:val="lt-LT"/>
              </w:rPr>
              <w:t>s</w:t>
            </w:r>
            <w:r w:rsidR="00A4436C" w:rsidRPr="008048D3">
              <w:rPr>
                <w:rFonts w:ascii="Verdana" w:hAnsi="Verdana"/>
                <w:sz w:val="16"/>
                <w:szCs w:val="16"/>
                <w:lang w:val="lt-LT"/>
              </w:rPr>
              <w:t xml:space="preserve"> jų skaičius</w:t>
            </w:r>
            <w:r w:rsidR="009B1A13" w:rsidRPr="008048D3">
              <w:rPr>
                <w:rFonts w:ascii="Verdana" w:hAnsi="Verdana"/>
                <w:sz w:val="16"/>
                <w:szCs w:val="16"/>
                <w:lang w:val="lt-LT"/>
              </w:rPr>
              <w:t>)</w:t>
            </w:r>
            <w:r w:rsidR="00A4436C" w:rsidRPr="008048D3">
              <w:rPr>
                <w:rFonts w:ascii="Verdana" w:hAnsi="Verdana"/>
                <w:sz w:val="16"/>
                <w:szCs w:val="16"/>
                <w:lang w:val="lt-LT"/>
              </w:rPr>
              <w:t xml:space="preserve">, bus akceptuojami Emitento arba Emitento įgaliotų asmenų </w:t>
            </w:r>
            <w:r w:rsidR="009B1A13" w:rsidRPr="008048D3">
              <w:rPr>
                <w:rFonts w:ascii="Verdana" w:hAnsi="Verdana"/>
                <w:sz w:val="16"/>
                <w:szCs w:val="16"/>
                <w:lang w:val="lt-LT"/>
              </w:rPr>
              <w:t>n</w:t>
            </w:r>
            <w:r w:rsidR="00A4436C" w:rsidRPr="008048D3">
              <w:rPr>
                <w:rFonts w:ascii="Verdana" w:hAnsi="Verdana"/>
                <w:sz w:val="16"/>
                <w:szCs w:val="16"/>
                <w:lang w:val="lt-LT"/>
              </w:rPr>
              <w:t>e</w:t>
            </w:r>
            <w:r w:rsidR="009B1A13" w:rsidRPr="008048D3">
              <w:rPr>
                <w:rFonts w:ascii="Verdana" w:hAnsi="Verdana"/>
                <w:sz w:val="16"/>
                <w:szCs w:val="16"/>
                <w:lang w:val="lt-LT"/>
              </w:rPr>
              <w:t xml:space="preserve"> </w:t>
            </w:r>
            <w:r w:rsidR="00A4436C" w:rsidRPr="008048D3">
              <w:rPr>
                <w:rFonts w:ascii="Verdana" w:hAnsi="Verdana"/>
                <w:sz w:val="16"/>
                <w:szCs w:val="16"/>
                <w:lang w:val="lt-LT"/>
              </w:rPr>
              <w:t xml:space="preserve">vėliau nei per </w:t>
            </w:r>
            <w:r w:rsidR="009B1A13" w:rsidRPr="008048D3">
              <w:rPr>
                <w:rFonts w:ascii="Verdana" w:hAnsi="Verdana"/>
                <w:sz w:val="16"/>
                <w:szCs w:val="16"/>
                <w:lang w:val="lt-LT"/>
              </w:rPr>
              <w:t xml:space="preserve">10 </w:t>
            </w:r>
            <w:r w:rsidR="00A4436C" w:rsidRPr="008048D3">
              <w:rPr>
                <w:rFonts w:ascii="Verdana" w:hAnsi="Verdana"/>
                <w:sz w:val="16"/>
                <w:szCs w:val="16"/>
                <w:lang w:val="lt-LT"/>
              </w:rPr>
              <w:t>ka</w:t>
            </w:r>
            <w:r w:rsidR="009B1A13" w:rsidRPr="008048D3">
              <w:rPr>
                <w:rFonts w:ascii="Verdana" w:hAnsi="Verdana"/>
                <w:sz w:val="16"/>
                <w:szCs w:val="16"/>
                <w:lang w:val="lt-LT"/>
              </w:rPr>
              <w:t>lend</w:t>
            </w:r>
            <w:r w:rsidR="00A4436C" w:rsidRPr="008048D3">
              <w:rPr>
                <w:rFonts w:ascii="Verdana" w:hAnsi="Verdana"/>
                <w:sz w:val="16"/>
                <w:szCs w:val="16"/>
                <w:lang w:val="lt-LT"/>
              </w:rPr>
              <w:t>o</w:t>
            </w:r>
            <w:r w:rsidR="009B1A13" w:rsidRPr="008048D3">
              <w:rPr>
                <w:rFonts w:ascii="Verdana" w:hAnsi="Verdana"/>
                <w:sz w:val="16"/>
                <w:szCs w:val="16"/>
                <w:lang w:val="lt-LT"/>
              </w:rPr>
              <w:t>r</w:t>
            </w:r>
            <w:r w:rsidR="00A4436C" w:rsidRPr="008048D3">
              <w:rPr>
                <w:rFonts w:ascii="Verdana" w:hAnsi="Verdana"/>
                <w:sz w:val="16"/>
                <w:szCs w:val="16"/>
                <w:lang w:val="lt-LT"/>
              </w:rPr>
              <w:t>inių dienų nuo Paskirstymo dienos</w:t>
            </w:r>
            <w:r w:rsidR="009B1A13" w:rsidRPr="008048D3">
              <w:rPr>
                <w:rFonts w:ascii="Verdana" w:hAnsi="Verdana"/>
                <w:sz w:val="16"/>
                <w:szCs w:val="16"/>
                <w:lang w:val="lt-LT"/>
              </w:rPr>
              <w:t xml:space="preserve">. </w:t>
            </w:r>
            <w:r w:rsidR="00A4436C" w:rsidRPr="008048D3">
              <w:rPr>
                <w:rFonts w:ascii="Verdana" w:hAnsi="Verdana"/>
                <w:sz w:val="16"/>
                <w:szCs w:val="16"/>
                <w:lang w:val="lt-LT"/>
              </w:rPr>
              <w:t xml:space="preserve">Akceptas bus pateikiamas Investuotojams Emitento numatyta </w:t>
            </w:r>
            <w:r w:rsidR="009B1A13" w:rsidRPr="008048D3">
              <w:rPr>
                <w:rFonts w:ascii="Verdana" w:hAnsi="Verdana"/>
                <w:sz w:val="16"/>
                <w:szCs w:val="16"/>
                <w:lang w:val="lt-LT"/>
              </w:rPr>
              <w:t>form</w:t>
            </w:r>
            <w:r w:rsidR="00A4436C" w:rsidRPr="008048D3">
              <w:rPr>
                <w:rFonts w:ascii="Verdana" w:hAnsi="Verdana"/>
                <w:sz w:val="16"/>
                <w:szCs w:val="16"/>
                <w:lang w:val="lt-LT"/>
              </w:rPr>
              <w:t>a</w:t>
            </w:r>
            <w:r w:rsidR="009B1A13" w:rsidRPr="008048D3">
              <w:rPr>
                <w:rFonts w:ascii="Verdana" w:hAnsi="Verdana"/>
                <w:sz w:val="16"/>
                <w:szCs w:val="16"/>
                <w:lang w:val="lt-LT"/>
              </w:rPr>
              <w:t>.</w:t>
            </w:r>
          </w:p>
          <w:p w14:paraId="5EB2404A" w14:textId="77777777" w:rsidR="009B1A13" w:rsidRPr="008048D3" w:rsidRDefault="009B1A13" w:rsidP="009B1A13">
            <w:pPr>
              <w:jc w:val="both"/>
              <w:rPr>
                <w:rFonts w:ascii="Verdana" w:hAnsi="Verdana"/>
                <w:sz w:val="16"/>
                <w:szCs w:val="16"/>
                <w:u w:val="single"/>
                <w:lang w:val="lt-LT"/>
              </w:rPr>
            </w:pPr>
          </w:p>
          <w:p w14:paraId="38E7A430" w14:textId="029D989F" w:rsidR="009B1A13" w:rsidRPr="008048D3" w:rsidRDefault="002D0568" w:rsidP="009B1A13">
            <w:pPr>
              <w:jc w:val="both"/>
              <w:rPr>
                <w:rFonts w:ascii="Verdana" w:hAnsi="Verdana"/>
                <w:b/>
                <w:sz w:val="16"/>
                <w:szCs w:val="16"/>
                <w:lang w:val="lt-LT"/>
              </w:rPr>
            </w:pPr>
            <w:r w:rsidRPr="008048D3">
              <w:rPr>
                <w:rFonts w:ascii="Verdana" w:hAnsi="Verdana"/>
                <w:b/>
                <w:sz w:val="16"/>
                <w:szCs w:val="16"/>
                <w:lang w:val="lt-LT"/>
              </w:rPr>
              <w:t xml:space="preserve">Pasirašymo pavedimų koregavimas ir atšaukimas </w:t>
            </w:r>
          </w:p>
          <w:p w14:paraId="29929EFA" w14:textId="77777777" w:rsidR="009B1A13" w:rsidRPr="008048D3" w:rsidRDefault="009B1A13" w:rsidP="009B1A13">
            <w:pPr>
              <w:jc w:val="both"/>
              <w:rPr>
                <w:rFonts w:ascii="Verdana" w:hAnsi="Verdana"/>
                <w:sz w:val="16"/>
                <w:szCs w:val="16"/>
                <w:lang w:val="lt-LT"/>
              </w:rPr>
            </w:pPr>
          </w:p>
          <w:p w14:paraId="78E9B8FB" w14:textId="4F4677AE" w:rsidR="009B1A13" w:rsidRPr="008048D3" w:rsidRDefault="009B1A13" w:rsidP="009B1A13">
            <w:pPr>
              <w:jc w:val="both"/>
              <w:rPr>
                <w:rFonts w:ascii="Verdana" w:hAnsi="Verdana"/>
                <w:sz w:val="16"/>
                <w:szCs w:val="16"/>
                <w:lang w:val="lt-LT"/>
              </w:rPr>
            </w:pPr>
            <w:r w:rsidRPr="008048D3">
              <w:rPr>
                <w:rFonts w:ascii="Verdana" w:hAnsi="Verdana"/>
                <w:sz w:val="16"/>
                <w:szCs w:val="16"/>
                <w:lang w:val="lt-LT"/>
              </w:rPr>
              <w:t>Invest</w:t>
            </w:r>
            <w:r w:rsidR="002D0568" w:rsidRPr="008048D3">
              <w:rPr>
                <w:rFonts w:ascii="Verdana" w:hAnsi="Verdana"/>
                <w:sz w:val="16"/>
                <w:szCs w:val="16"/>
                <w:lang w:val="lt-LT"/>
              </w:rPr>
              <w:t xml:space="preserve">uotojai turi teisę koreguoti arba atšaukti savo Pasirašymo pavedimus </w:t>
            </w:r>
            <w:r w:rsidRPr="008048D3">
              <w:rPr>
                <w:rFonts w:ascii="Verdana" w:hAnsi="Verdana"/>
                <w:sz w:val="16"/>
                <w:szCs w:val="16"/>
                <w:lang w:val="lt-LT"/>
              </w:rPr>
              <w:t>(</w:t>
            </w:r>
            <w:r w:rsidR="002D0568" w:rsidRPr="008048D3">
              <w:rPr>
                <w:rFonts w:ascii="Verdana" w:hAnsi="Verdana"/>
                <w:sz w:val="16"/>
                <w:szCs w:val="16"/>
                <w:lang w:val="lt-LT"/>
              </w:rPr>
              <w:t>ir pateikti naujus Pasirašymo pavedimus</w:t>
            </w:r>
            <w:r w:rsidRPr="008048D3">
              <w:rPr>
                <w:rFonts w:ascii="Verdana" w:hAnsi="Verdana"/>
                <w:sz w:val="16"/>
                <w:szCs w:val="16"/>
                <w:lang w:val="lt-LT"/>
              </w:rPr>
              <w:t xml:space="preserve">) </w:t>
            </w:r>
            <w:r w:rsidR="002D0568" w:rsidRPr="008048D3">
              <w:rPr>
                <w:rFonts w:ascii="Verdana" w:hAnsi="Verdana"/>
                <w:sz w:val="16"/>
                <w:szCs w:val="16"/>
                <w:lang w:val="lt-LT"/>
              </w:rPr>
              <w:t>bet kuriuo metu iki Siūlymo laikotarpio pabaigos</w:t>
            </w:r>
            <w:r w:rsidRPr="008048D3">
              <w:rPr>
                <w:rFonts w:ascii="Verdana" w:hAnsi="Verdana"/>
                <w:sz w:val="16"/>
                <w:szCs w:val="16"/>
                <w:lang w:val="lt-LT"/>
              </w:rPr>
              <w:t xml:space="preserve">. </w:t>
            </w:r>
            <w:r w:rsidR="002D0568" w:rsidRPr="008048D3">
              <w:rPr>
                <w:rFonts w:ascii="Verdana" w:hAnsi="Verdana"/>
                <w:sz w:val="16"/>
                <w:szCs w:val="16"/>
                <w:lang w:val="lt-LT"/>
              </w:rPr>
              <w:t xml:space="preserve">Dėl to </w:t>
            </w:r>
            <w:r w:rsidR="002D0568" w:rsidRPr="008048D3">
              <w:rPr>
                <w:rFonts w:ascii="Verdana" w:hAnsi="Verdana" w:cs="Arial"/>
                <w:sz w:val="16"/>
                <w:szCs w:val="16"/>
                <w:lang w:val="lt-LT"/>
              </w:rPr>
              <w:t>Dalyvaujanti institucija, per kurią teikiamas Pasirašymo pavedimas, gali pareikalauti padengti atitinkamas išlaidas ir mokesčius</w:t>
            </w:r>
            <w:r w:rsidRPr="008048D3">
              <w:rPr>
                <w:rFonts w:ascii="Verdana" w:hAnsi="Verdana"/>
                <w:sz w:val="16"/>
                <w:szCs w:val="16"/>
                <w:lang w:val="lt-LT"/>
              </w:rPr>
              <w:t>.</w:t>
            </w:r>
          </w:p>
          <w:p w14:paraId="396A5F0F" w14:textId="77777777" w:rsidR="009B1A13" w:rsidRPr="008048D3" w:rsidRDefault="009B1A13" w:rsidP="009B1A13">
            <w:pPr>
              <w:jc w:val="both"/>
              <w:rPr>
                <w:rFonts w:ascii="Verdana" w:hAnsi="Verdana"/>
                <w:sz w:val="16"/>
                <w:szCs w:val="16"/>
                <w:lang w:val="lt-LT"/>
              </w:rPr>
            </w:pPr>
          </w:p>
          <w:p w14:paraId="40CD8F40" w14:textId="53A9A1B4" w:rsidR="009B1A13" w:rsidRPr="008048D3" w:rsidRDefault="00AB71FD" w:rsidP="009B1A13">
            <w:pPr>
              <w:jc w:val="both"/>
              <w:rPr>
                <w:rFonts w:ascii="Verdana" w:hAnsi="Verdana"/>
                <w:sz w:val="16"/>
                <w:szCs w:val="16"/>
                <w:lang w:val="lt-LT"/>
              </w:rPr>
            </w:pPr>
            <w:r w:rsidRPr="008048D3">
              <w:rPr>
                <w:rFonts w:ascii="Verdana" w:hAnsi="Verdana"/>
                <w:sz w:val="16"/>
                <w:szCs w:val="16"/>
                <w:lang w:val="lt-LT"/>
              </w:rPr>
              <w:t>Be to</w:t>
            </w:r>
            <w:r w:rsidR="009B1A13" w:rsidRPr="008048D3">
              <w:rPr>
                <w:rFonts w:ascii="Verdana" w:hAnsi="Verdana"/>
                <w:sz w:val="16"/>
                <w:szCs w:val="16"/>
                <w:lang w:val="lt-LT"/>
              </w:rPr>
              <w:t xml:space="preserve">, </w:t>
            </w:r>
            <w:r w:rsidRPr="008048D3">
              <w:rPr>
                <w:rFonts w:ascii="Verdana" w:hAnsi="Verdana"/>
                <w:sz w:val="16"/>
                <w:szCs w:val="16"/>
                <w:lang w:val="lt-LT"/>
              </w:rPr>
              <w:t>Pasirašymo pavedimą dėl Siūlomų akcijų taip pat galima atsiimti, kai po Siūlymo pradžios paskelbi</w:t>
            </w:r>
            <w:r w:rsidR="009B1A13" w:rsidRPr="008048D3">
              <w:rPr>
                <w:rFonts w:ascii="Verdana" w:hAnsi="Verdana"/>
                <w:sz w:val="16"/>
                <w:szCs w:val="16"/>
                <w:lang w:val="lt-LT"/>
              </w:rPr>
              <w:t>a</w:t>
            </w:r>
            <w:r w:rsidRPr="008048D3">
              <w:rPr>
                <w:rFonts w:ascii="Verdana" w:hAnsi="Verdana"/>
                <w:sz w:val="16"/>
                <w:szCs w:val="16"/>
                <w:lang w:val="lt-LT"/>
              </w:rPr>
              <w:t>ma</w:t>
            </w:r>
            <w:r w:rsidR="00CD6C29" w:rsidRPr="008048D3">
              <w:rPr>
                <w:rFonts w:ascii="Verdana" w:hAnsi="Verdana"/>
                <w:sz w:val="16"/>
                <w:szCs w:val="16"/>
                <w:lang w:val="lt-LT"/>
              </w:rPr>
              <w:t>s</w:t>
            </w:r>
            <w:r w:rsidRPr="008048D3">
              <w:rPr>
                <w:rFonts w:ascii="Verdana" w:hAnsi="Verdana"/>
                <w:sz w:val="16"/>
                <w:szCs w:val="16"/>
                <w:lang w:val="lt-LT"/>
              </w:rPr>
              <w:t xml:space="preserve"> Prospekto priedas dėl įvykio arba aplinkybių, įvykusių prieš Siūlomų akcijų paskirstymą ir apie kurias Emitentas sužinojo prieš </w:t>
            </w:r>
            <w:r w:rsidR="00CD6C29" w:rsidRPr="008048D3">
              <w:rPr>
                <w:rFonts w:ascii="Verdana" w:hAnsi="Verdana"/>
                <w:sz w:val="16"/>
                <w:szCs w:val="16"/>
                <w:lang w:val="lt-LT"/>
              </w:rPr>
              <w:t xml:space="preserve">tokį </w:t>
            </w:r>
            <w:r w:rsidRPr="008048D3">
              <w:rPr>
                <w:rFonts w:ascii="Verdana" w:hAnsi="Verdana"/>
                <w:sz w:val="16"/>
                <w:szCs w:val="16"/>
                <w:lang w:val="lt-LT"/>
              </w:rPr>
              <w:t>paskirstymą</w:t>
            </w:r>
            <w:r w:rsidR="009B1A13" w:rsidRPr="008048D3">
              <w:rPr>
                <w:rFonts w:ascii="Verdana" w:hAnsi="Verdana"/>
                <w:sz w:val="16"/>
                <w:szCs w:val="16"/>
                <w:lang w:val="lt-LT"/>
              </w:rPr>
              <w:t>. Invest</w:t>
            </w:r>
            <w:r w:rsidRPr="008048D3">
              <w:rPr>
                <w:rFonts w:ascii="Verdana" w:hAnsi="Verdana"/>
                <w:sz w:val="16"/>
                <w:szCs w:val="16"/>
                <w:lang w:val="lt-LT"/>
              </w:rPr>
              <w:t>u</w:t>
            </w:r>
            <w:r w:rsidR="009B1A13" w:rsidRPr="008048D3">
              <w:rPr>
                <w:rFonts w:ascii="Verdana" w:hAnsi="Verdana"/>
                <w:sz w:val="16"/>
                <w:szCs w:val="16"/>
                <w:lang w:val="lt-LT"/>
              </w:rPr>
              <w:t>o</w:t>
            </w:r>
            <w:r w:rsidRPr="008048D3">
              <w:rPr>
                <w:rFonts w:ascii="Verdana" w:hAnsi="Verdana"/>
                <w:sz w:val="16"/>
                <w:szCs w:val="16"/>
                <w:lang w:val="lt-LT"/>
              </w:rPr>
              <w:t xml:space="preserve">tojas, kuris pateikė Pasirašymo pavedimą prieš paskelbiant tokį priedą, gali atsiimti tokį </w:t>
            </w:r>
            <w:r w:rsidR="00564EF9" w:rsidRPr="008048D3">
              <w:rPr>
                <w:rFonts w:ascii="Verdana" w:hAnsi="Verdana"/>
                <w:sz w:val="16"/>
                <w:szCs w:val="16"/>
                <w:lang w:val="lt-LT"/>
              </w:rPr>
              <w:t>pavedimą pateikdamas rašytinį pareiškimą įstaigai, per kurią toks pavedimas buvo pateiktas</w:t>
            </w:r>
            <w:r w:rsidR="009B1A13" w:rsidRPr="008048D3">
              <w:rPr>
                <w:rFonts w:ascii="Verdana" w:hAnsi="Verdana"/>
                <w:sz w:val="16"/>
                <w:szCs w:val="16"/>
                <w:lang w:val="lt-LT"/>
              </w:rPr>
              <w:t xml:space="preserve">, </w:t>
            </w:r>
            <w:r w:rsidR="00564EF9" w:rsidRPr="008048D3">
              <w:rPr>
                <w:rFonts w:ascii="Verdana" w:hAnsi="Verdana"/>
                <w:sz w:val="16"/>
                <w:szCs w:val="16"/>
                <w:lang w:val="lt-LT"/>
              </w:rPr>
              <w:t>per dvi darbo dienas nuo Prospekto priedo paskelbimo dienos</w:t>
            </w:r>
            <w:r w:rsidR="009B1A13" w:rsidRPr="008048D3">
              <w:rPr>
                <w:rFonts w:ascii="Verdana" w:hAnsi="Verdana"/>
                <w:sz w:val="16"/>
                <w:szCs w:val="16"/>
                <w:lang w:val="lt-LT"/>
              </w:rPr>
              <w:t xml:space="preserve">. </w:t>
            </w:r>
          </w:p>
          <w:p w14:paraId="28FD6B0F" w14:textId="77777777" w:rsidR="009B1A13" w:rsidRPr="008048D3" w:rsidRDefault="009B1A13" w:rsidP="009B1A13">
            <w:pPr>
              <w:jc w:val="both"/>
              <w:rPr>
                <w:rFonts w:ascii="Verdana" w:hAnsi="Verdana"/>
                <w:sz w:val="16"/>
                <w:szCs w:val="16"/>
                <w:lang w:val="lt-LT"/>
              </w:rPr>
            </w:pPr>
          </w:p>
          <w:p w14:paraId="1D00EC01" w14:textId="49495519" w:rsidR="009B1A13" w:rsidRPr="008048D3" w:rsidRDefault="00F41848" w:rsidP="009B1A13">
            <w:pPr>
              <w:jc w:val="both"/>
              <w:rPr>
                <w:rFonts w:ascii="Verdana" w:hAnsi="Verdana"/>
                <w:sz w:val="16"/>
                <w:szCs w:val="16"/>
                <w:lang w:val="lt-LT"/>
              </w:rPr>
            </w:pPr>
            <w:r w:rsidRPr="008048D3">
              <w:rPr>
                <w:rFonts w:ascii="Verdana" w:hAnsi="Verdana"/>
                <w:sz w:val="16"/>
                <w:szCs w:val="16"/>
                <w:lang w:val="lt-LT"/>
              </w:rPr>
              <w:t xml:space="preserve">Pagal Pasirašymo pavedimą sumokėtos sumos grąžinamos </w:t>
            </w:r>
            <w:r w:rsidR="003D4357" w:rsidRPr="008048D3">
              <w:rPr>
                <w:rFonts w:ascii="Verdana" w:hAnsi="Verdana"/>
                <w:sz w:val="16"/>
                <w:szCs w:val="16"/>
                <w:lang w:val="lt-LT"/>
              </w:rPr>
              <w:t>per dešimt darbo dienų po pareiškimo dėl pavedimo atšaukimo pateikimo</w:t>
            </w:r>
            <w:r w:rsidR="009B1A13" w:rsidRPr="008048D3">
              <w:rPr>
                <w:rFonts w:ascii="Verdana" w:hAnsi="Verdana"/>
                <w:sz w:val="16"/>
                <w:szCs w:val="16"/>
                <w:lang w:val="lt-LT"/>
              </w:rPr>
              <w:t>.</w:t>
            </w:r>
          </w:p>
          <w:p w14:paraId="476A95C4" w14:textId="77777777" w:rsidR="009B1A13" w:rsidRPr="008048D3" w:rsidRDefault="009B1A13" w:rsidP="009B1A13">
            <w:pPr>
              <w:jc w:val="both"/>
              <w:rPr>
                <w:rFonts w:ascii="Verdana" w:hAnsi="Verdana"/>
                <w:sz w:val="16"/>
                <w:szCs w:val="16"/>
                <w:u w:val="single"/>
                <w:lang w:val="lt-LT"/>
              </w:rPr>
            </w:pPr>
          </w:p>
          <w:p w14:paraId="4EDC273A" w14:textId="55ECE748" w:rsidR="009B1A13" w:rsidRPr="008048D3" w:rsidRDefault="00A33876" w:rsidP="009B1A13">
            <w:pPr>
              <w:jc w:val="both"/>
              <w:rPr>
                <w:rFonts w:ascii="Verdana" w:hAnsi="Verdana"/>
                <w:b/>
                <w:sz w:val="16"/>
                <w:szCs w:val="16"/>
                <w:lang w:val="lt-LT"/>
              </w:rPr>
            </w:pPr>
            <w:r w:rsidRPr="008048D3">
              <w:rPr>
                <w:rFonts w:ascii="Verdana" w:hAnsi="Verdana"/>
                <w:b/>
                <w:sz w:val="16"/>
                <w:szCs w:val="16"/>
                <w:lang w:val="lt-LT"/>
              </w:rPr>
              <w:t>Apmokėjimas</w:t>
            </w:r>
          </w:p>
          <w:p w14:paraId="6ED9B216" w14:textId="77777777" w:rsidR="009B1A13" w:rsidRPr="008048D3" w:rsidRDefault="009B1A13" w:rsidP="009B1A13">
            <w:pPr>
              <w:jc w:val="both"/>
              <w:rPr>
                <w:rFonts w:ascii="Verdana" w:hAnsi="Verdana"/>
                <w:sz w:val="16"/>
                <w:szCs w:val="16"/>
                <w:lang w:val="lt-LT"/>
              </w:rPr>
            </w:pPr>
          </w:p>
          <w:p w14:paraId="3091E3EA" w14:textId="1BBCEB9B" w:rsidR="009B1A13" w:rsidRPr="008048D3" w:rsidRDefault="00A33876" w:rsidP="009B1A13">
            <w:pPr>
              <w:jc w:val="both"/>
              <w:rPr>
                <w:rFonts w:ascii="Verdana" w:hAnsi="Verdana"/>
                <w:sz w:val="16"/>
                <w:szCs w:val="16"/>
                <w:lang w:val="lt-LT"/>
              </w:rPr>
            </w:pPr>
            <w:r w:rsidRPr="008048D3">
              <w:rPr>
                <w:rFonts w:ascii="Verdana" w:hAnsi="Verdana"/>
                <w:sz w:val="16"/>
                <w:szCs w:val="16"/>
                <w:lang w:val="lt-LT"/>
              </w:rPr>
              <w:t>Pateikdamas Pasirašymo pavedimą</w:t>
            </w:r>
            <w:r w:rsidR="009B1A13" w:rsidRPr="008048D3">
              <w:rPr>
                <w:rFonts w:ascii="Verdana" w:hAnsi="Verdana"/>
                <w:sz w:val="16"/>
                <w:szCs w:val="16"/>
                <w:lang w:val="lt-LT"/>
              </w:rPr>
              <w:t xml:space="preserve"> </w:t>
            </w:r>
            <w:r w:rsidRPr="008048D3">
              <w:rPr>
                <w:rFonts w:ascii="Verdana" w:hAnsi="Verdana"/>
                <w:sz w:val="16"/>
                <w:szCs w:val="16"/>
                <w:lang w:val="lt-LT"/>
              </w:rPr>
              <w:t xml:space="preserve">kiekvienas </w:t>
            </w:r>
            <w:r w:rsidR="009B1A13" w:rsidRPr="008048D3">
              <w:rPr>
                <w:rFonts w:ascii="Verdana" w:hAnsi="Verdana"/>
                <w:sz w:val="16"/>
                <w:szCs w:val="16"/>
                <w:lang w:val="lt-LT"/>
              </w:rPr>
              <w:t>Invest</w:t>
            </w:r>
            <w:r w:rsidRPr="008048D3">
              <w:rPr>
                <w:rFonts w:ascii="Verdana" w:hAnsi="Verdana"/>
                <w:sz w:val="16"/>
                <w:szCs w:val="16"/>
                <w:lang w:val="lt-LT"/>
              </w:rPr>
              <w:t>u</w:t>
            </w:r>
            <w:r w:rsidR="009B1A13" w:rsidRPr="008048D3">
              <w:rPr>
                <w:rFonts w:ascii="Verdana" w:hAnsi="Verdana"/>
                <w:sz w:val="16"/>
                <w:szCs w:val="16"/>
                <w:lang w:val="lt-LT"/>
              </w:rPr>
              <w:t>o</w:t>
            </w:r>
            <w:r w:rsidRPr="008048D3">
              <w:rPr>
                <w:rFonts w:ascii="Verdana" w:hAnsi="Verdana"/>
                <w:sz w:val="16"/>
                <w:szCs w:val="16"/>
                <w:lang w:val="lt-LT"/>
              </w:rPr>
              <w:t>tojas įgalioja ir paveda įstaigai, tvarkančiai tokio Investuotojo atsiskaitomąją sąskaitą, susietą su jo vertybinių popierių sąskaita (kuri gali būti arba gali nebūti ta finansų įstaiga, per kurią pateikiamas Pasirašymo pavedimas), nedelsiant rezervuoti visą sandorio sumą Investuotojo atsiskaitomojoje sąskaitoje iki atsiskaitymo už priskirtas Siūlomas akcijas užbaigimo arba iki pinigų rezervavimo panaikinimo šiame Prospekte numatyta tvarka</w:t>
            </w:r>
            <w:r w:rsidR="009B1A13" w:rsidRPr="008048D3">
              <w:rPr>
                <w:rFonts w:ascii="Verdana" w:hAnsi="Verdana"/>
                <w:sz w:val="16"/>
                <w:szCs w:val="16"/>
                <w:lang w:val="lt-LT"/>
              </w:rPr>
              <w:t xml:space="preserve">. </w:t>
            </w:r>
            <w:r w:rsidRPr="008048D3">
              <w:rPr>
                <w:rFonts w:ascii="Verdana" w:hAnsi="Verdana"/>
                <w:sz w:val="16"/>
                <w:szCs w:val="16"/>
                <w:lang w:val="lt-LT"/>
              </w:rPr>
              <w:t>Rezervuojama sandorio suma bus lygi Siūlymo kainai (</w:t>
            </w:r>
            <w:r w:rsidR="001704E8" w:rsidRPr="008048D3">
              <w:rPr>
                <w:rFonts w:ascii="Verdana" w:hAnsi="Verdana"/>
                <w:sz w:val="16"/>
                <w:szCs w:val="16"/>
                <w:lang w:val="lt-LT"/>
              </w:rPr>
              <w:t>Mažmeninių investuotojų atveju Maksimaliai kainai, Institucinių investuotojų atveju Siūlymo kainos ribose pasirinktai kainai</w:t>
            </w:r>
            <w:r w:rsidRPr="008048D3">
              <w:rPr>
                <w:rFonts w:ascii="Verdana" w:hAnsi="Verdana"/>
                <w:sz w:val="16"/>
                <w:szCs w:val="16"/>
                <w:lang w:val="lt-LT"/>
              </w:rPr>
              <w:t xml:space="preserve">), padaugintai iš Maksimalaus skaičiaus. Investuotojas gali pateikti Pasirašymo pavedimą, tik jei yra pakankamai lėšų atsiskaitomojoje sąskaitoje. </w:t>
            </w:r>
            <w:r w:rsidR="001704E8" w:rsidRPr="008048D3">
              <w:rPr>
                <w:rFonts w:ascii="Verdana" w:hAnsi="Verdana"/>
                <w:sz w:val="16"/>
                <w:szCs w:val="16"/>
                <w:lang w:val="lt-LT"/>
              </w:rPr>
              <w:t>Jei rezervuotų lėšų nepakanka</w:t>
            </w:r>
            <w:r w:rsidR="009B1A13" w:rsidRPr="008048D3">
              <w:rPr>
                <w:rFonts w:ascii="Verdana" w:hAnsi="Verdana"/>
                <w:sz w:val="16"/>
                <w:szCs w:val="16"/>
                <w:lang w:val="lt-LT"/>
              </w:rPr>
              <w:t xml:space="preserve">, </w:t>
            </w:r>
            <w:r w:rsidR="001704E8" w:rsidRPr="008048D3">
              <w:rPr>
                <w:rFonts w:ascii="Verdana" w:hAnsi="Verdana"/>
                <w:sz w:val="16"/>
                <w:szCs w:val="16"/>
                <w:lang w:val="lt-LT"/>
              </w:rPr>
              <w:t>Pasirašymo pavedimas laikomas negaliojančiu ta apimtimi, kiek trūksta lėšų</w:t>
            </w:r>
            <w:r w:rsidR="009B1A13" w:rsidRPr="008048D3">
              <w:rPr>
                <w:rFonts w:ascii="Verdana" w:hAnsi="Verdana"/>
                <w:sz w:val="16"/>
                <w:szCs w:val="16"/>
                <w:lang w:val="lt-LT"/>
              </w:rPr>
              <w:t>.</w:t>
            </w:r>
          </w:p>
          <w:p w14:paraId="67E14D77" w14:textId="77777777" w:rsidR="009B1A13" w:rsidRPr="008048D3" w:rsidRDefault="009B1A13" w:rsidP="009B1A13">
            <w:pPr>
              <w:jc w:val="both"/>
              <w:rPr>
                <w:rFonts w:ascii="Verdana" w:hAnsi="Verdana"/>
                <w:sz w:val="16"/>
                <w:szCs w:val="16"/>
                <w:lang w:val="lt-LT"/>
              </w:rPr>
            </w:pPr>
          </w:p>
          <w:p w14:paraId="4965B6AE" w14:textId="44EC2CE1" w:rsidR="009B1A13" w:rsidRPr="008048D3" w:rsidRDefault="00551D2C" w:rsidP="009B1A13">
            <w:pPr>
              <w:jc w:val="both"/>
              <w:rPr>
                <w:rFonts w:ascii="Verdana" w:hAnsi="Verdana"/>
                <w:sz w:val="16"/>
                <w:szCs w:val="16"/>
                <w:lang w:val="lt-LT"/>
              </w:rPr>
            </w:pPr>
            <w:r w:rsidRPr="008048D3">
              <w:rPr>
                <w:rFonts w:ascii="Verdana" w:hAnsi="Verdana"/>
                <w:sz w:val="16"/>
                <w:szCs w:val="16"/>
                <w:lang w:val="lt-LT"/>
              </w:rPr>
              <w:t>Šio Siūlymo tikslu Bendrovė atidar</w:t>
            </w:r>
            <w:r w:rsidR="008E28ED" w:rsidRPr="008048D3">
              <w:rPr>
                <w:rFonts w:ascii="Verdana" w:hAnsi="Verdana"/>
                <w:sz w:val="16"/>
                <w:szCs w:val="16"/>
                <w:lang w:val="lt-LT"/>
              </w:rPr>
              <w:t>ė</w:t>
            </w:r>
            <w:r w:rsidRPr="008048D3">
              <w:rPr>
                <w:rFonts w:ascii="Verdana" w:hAnsi="Verdana"/>
                <w:sz w:val="16"/>
                <w:szCs w:val="16"/>
                <w:lang w:val="lt-LT"/>
              </w:rPr>
              <w:t xml:space="preserve"> </w:t>
            </w:r>
            <w:r w:rsidR="009B1A13" w:rsidRPr="008048D3">
              <w:rPr>
                <w:rFonts w:ascii="Verdana" w:hAnsi="Verdana"/>
                <w:sz w:val="16"/>
                <w:szCs w:val="16"/>
                <w:lang w:val="lt-LT"/>
              </w:rPr>
              <w:t>special</w:t>
            </w:r>
            <w:r w:rsidRPr="008048D3">
              <w:rPr>
                <w:rFonts w:ascii="Verdana" w:hAnsi="Verdana"/>
                <w:sz w:val="16"/>
                <w:szCs w:val="16"/>
                <w:lang w:val="lt-LT"/>
              </w:rPr>
              <w:t>ią</w:t>
            </w:r>
            <w:r w:rsidR="009B1A13" w:rsidRPr="008048D3">
              <w:rPr>
                <w:rFonts w:ascii="Verdana" w:hAnsi="Verdana"/>
                <w:sz w:val="16"/>
                <w:szCs w:val="16"/>
                <w:lang w:val="lt-LT"/>
              </w:rPr>
              <w:t xml:space="preserve"> bank</w:t>
            </w:r>
            <w:r w:rsidRPr="008048D3">
              <w:rPr>
                <w:rFonts w:ascii="Verdana" w:hAnsi="Verdana"/>
                <w:sz w:val="16"/>
                <w:szCs w:val="16"/>
                <w:lang w:val="lt-LT"/>
              </w:rPr>
              <w:t>o</w:t>
            </w:r>
            <w:r w:rsidR="009B1A13" w:rsidRPr="008048D3">
              <w:rPr>
                <w:rFonts w:ascii="Verdana" w:hAnsi="Verdana"/>
                <w:sz w:val="16"/>
                <w:szCs w:val="16"/>
                <w:lang w:val="lt-LT"/>
              </w:rPr>
              <w:t xml:space="preserve"> </w:t>
            </w:r>
            <w:r w:rsidRPr="008048D3">
              <w:rPr>
                <w:rFonts w:ascii="Verdana" w:hAnsi="Verdana"/>
                <w:sz w:val="16"/>
                <w:szCs w:val="16"/>
                <w:lang w:val="lt-LT"/>
              </w:rPr>
              <w:t xml:space="preserve">sąskaitą </w:t>
            </w:r>
            <w:r w:rsidR="006A7494" w:rsidRPr="008048D3">
              <w:rPr>
                <w:rFonts w:ascii="Verdana" w:hAnsi="Verdana"/>
                <w:sz w:val="16"/>
                <w:szCs w:val="16"/>
                <w:lang w:val="lt-LT"/>
              </w:rPr>
              <w:t xml:space="preserve">Estijoje registruotame banke </w:t>
            </w:r>
            <w:r w:rsidR="009B1A13" w:rsidRPr="008048D3">
              <w:rPr>
                <w:rFonts w:ascii="Verdana" w:hAnsi="Verdana"/>
                <w:sz w:val="16"/>
                <w:szCs w:val="16"/>
                <w:lang w:val="lt-LT"/>
              </w:rPr>
              <w:t xml:space="preserve">LHV </w:t>
            </w:r>
            <w:proofErr w:type="spellStart"/>
            <w:r w:rsidR="009B1A13" w:rsidRPr="008048D3">
              <w:rPr>
                <w:rFonts w:ascii="Verdana" w:hAnsi="Verdana"/>
                <w:sz w:val="16"/>
                <w:szCs w:val="16"/>
                <w:lang w:val="lt-LT"/>
              </w:rPr>
              <w:t>Pank</w:t>
            </w:r>
            <w:proofErr w:type="spellEnd"/>
            <w:r w:rsidR="009B1A13" w:rsidRPr="008048D3">
              <w:rPr>
                <w:rFonts w:ascii="Verdana" w:hAnsi="Verdana"/>
                <w:sz w:val="16"/>
                <w:szCs w:val="16"/>
                <w:lang w:val="lt-LT"/>
              </w:rPr>
              <w:t xml:space="preserve"> AS, </w:t>
            </w:r>
            <w:r w:rsidRPr="008048D3">
              <w:rPr>
                <w:rFonts w:ascii="Verdana" w:hAnsi="Verdana"/>
                <w:sz w:val="16"/>
                <w:szCs w:val="16"/>
                <w:lang w:val="lt-LT"/>
              </w:rPr>
              <w:t xml:space="preserve">kuris yra akcinė bendrovė, </w:t>
            </w:r>
            <w:r w:rsidR="009B1A13" w:rsidRPr="008048D3">
              <w:rPr>
                <w:rFonts w:ascii="Verdana" w:hAnsi="Verdana"/>
                <w:sz w:val="16"/>
                <w:szCs w:val="16"/>
                <w:lang w:val="lt-LT"/>
              </w:rPr>
              <w:t>registr</w:t>
            </w:r>
            <w:r w:rsidRPr="008048D3">
              <w:rPr>
                <w:rFonts w:ascii="Verdana" w:hAnsi="Verdana"/>
                <w:sz w:val="16"/>
                <w:szCs w:val="16"/>
                <w:lang w:val="lt-LT"/>
              </w:rPr>
              <w:t xml:space="preserve">uota Estijos įmonių registre, registracijos numeris </w:t>
            </w:r>
            <w:r w:rsidR="009B1A13" w:rsidRPr="008048D3">
              <w:rPr>
                <w:rFonts w:ascii="Verdana" w:hAnsi="Verdana"/>
                <w:sz w:val="16"/>
                <w:szCs w:val="16"/>
                <w:lang w:val="lt-LT"/>
              </w:rPr>
              <w:t xml:space="preserve">10539549, </w:t>
            </w:r>
            <w:r w:rsidRPr="008048D3">
              <w:rPr>
                <w:rFonts w:ascii="Verdana" w:hAnsi="Verdana"/>
                <w:sz w:val="16"/>
                <w:szCs w:val="16"/>
                <w:lang w:val="lt-LT"/>
              </w:rPr>
              <w:t xml:space="preserve">buveinės adresas </w:t>
            </w:r>
            <w:r w:rsidR="009B1A13" w:rsidRPr="008048D3">
              <w:rPr>
                <w:rFonts w:ascii="Verdana" w:hAnsi="Verdana"/>
                <w:sz w:val="16"/>
                <w:szCs w:val="16"/>
                <w:lang w:val="lt-LT"/>
              </w:rPr>
              <w:t xml:space="preserve">Tartu </w:t>
            </w:r>
            <w:proofErr w:type="spellStart"/>
            <w:r w:rsidR="009B1A13" w:rsidRPr="008048D3">
              <w:rPr>
                <w:rFonts w:ascii="Verdana" w:hAnsi="Verdana"/>
                <w:sz w:val="16"/>
                <w:szCs w:val="16"/>
                <w:lang w:val="lt-LT"/>
              </w:rPr>
              <w:t>mnt</w:t>
            </w:r>
            <w:proofErr w:type="spellEnd"/>
            <w:r w:rsidR="009B1A13" w:rsidRPr="008048D3">
              <w:rPr>
                <w:rFonts w:ascii="Verdana" w:hAnsi="Verdana"/>
                <w:sz w:val="16"/>
                <w:szCs w:val="16"/>
                <w:lang w:val="lt-LT"/>
              </w:rPr>
              <w:t xml:space="preserve"> 2, 10145 Talin</w:t>
            </w:r>
            <w:r w:rsidRPr="008048D3">
              <w:rPr>
                <w:rFonts w:ascii="Verdana" w:hAnsi="Verdana"/>
                <w:sz w:val="16"/>
                <w:szCs w:val="16"/>
                <w:lang w:val="lt-LT"/>
              </w:rPr>
              <w:t>as</w:t>
            </w:r>
            <w:r w:rsidR="009B1A13" w:rsidRPr="008048D3">
              <w:rPr>
                <w:rFonts w:ascii="Verdana" w:hAnsi="Verdana"/>
                <w:sz w:val="16"/>
                <w:szCs w:val="16"/>
                <w:lang w:val="lt-LT"/>
              </w:rPr>
              <w:t>, Est</w:t>
            </w:r>
            <w:r w:rsidRPr="008048D3">
              <w:rPr>
                <w:rFonts w:ascii="Verdana" w:hAnsi="Verdana"/>
                <w:sz w:val="16"/>
                <w:szCs w:val="16"/>
                <w:lang w:val="lt-LT"/>
              </w:rPr>
              <w:t>ija</w:t>
            </w:r>
            <w:r w:rsidR="009B1A13" w:rsidRPr="008048D3">
              <w:rPr>
                <w:rFonts w:ascii="Verdana" w:hAnsi="Verdana"/>
                <w:sz w:val="16"/>
                <w:szCs w:val="16"/>
                <w:lang w:val="lt-LT"/>
              </w:rPr>
              <w:t xml:space="preserve">, </w:t>
            </w:r>
            <w:r w:rsidRPr="008048D3">
              <w:rPr>
                <w:rFonts w:ascii="Verdana" w:hAnsi="Verdana"/>
                <w:sz w:val="16"/>
                <w:szCs w:val="16"/>
                <w:lang w:val="lt-LT"/>
              </w:rPr>
              <w:t>kuri bus naudojama vien tik lėšų rinkimo iš Investuotojų vykdant šį Siūlymą tikslu ir nebus naudojama jokiais kitais tikslais</w:t>
            </w:r>
            <w:r w:rsidR="009B1A13" w:rsidRPr="008048D3">
              <w:rPr>
                <w:rFonts w:ascii="Verdana" w:hAnsi="Verdana"/>
                <w:sz w:val="16"/>
                <w:szCs w:val="16"/>
                <w:lang w:val="lt-LT"/>
              </w:rPr>
              <w:t xml:space="preserve">. </w:t>
            </w:r>
            <w:r w:rsidR="00BA7CD8" w:rsidRPr="008048D3">
              <w:rPr>
                <w:rFonts w:ascii="Verdana" w:hAnsi="Verdana"/>
                <w:sz w:val="16"/>
                <w:szCs w:val="16"/>
                <w:lang w:val="lt-LT"/>
              </w:rPr>
              <w:t xml:space="preserve">Paskirstymo dieną </w:t>
            </w:r>
            <w:r w:rsidR="00F17BC3" w:rsidRPr="008048D3">
              <w:rPr>
                <w:rFonts w:ascii="Verdana" w:hAnsi="Verdana"/>
                <w:sz w:val="16"/>
                <w:szCs w:val="16"/>
                <w:lang w:val="lt-LT"/>
              </w:rPr>
              <w:t xml:space="preserve">Investuotojų lėšos, kurios rezervuotos paskirstytų Siūlomų akcijų apmokėjimui, bus pervestos į šią </w:t>
            </w:r>
            <w:r w:rsidR="009B1A13" w:rsidRPr="008048D3">
              <w:rPr>
                <w:rFonts w:ascii="Verdana" w:hAnsi="Verdana"/>
                <w:sz w:val="16"/>
                <w:szCs w:val="16"/>
                <w:lang w:val="lt-LT"/>
              </w:rPr>
              <w:t>special</w:t>
            </w:r>
            <w:r w:rsidR="00F17BC3" w:rsidRPr="008048D3">
              <w:rPr>
                <w:rFonts w:ascii="Verdana" w:hAnsi="Verdana"/>
                <w:sz w:val="16"/>
                <w:szCs w:val="16"/>
                <w:lang w:val="lt-LT"/>
              </w:rPr>
              <w:t>ią</w:t>
            </w:r>
            <w:r w:rsidR="009B1A13" w:rsidRPr="008048D3">
              <w:rPr>
                <w:rFonts w:ascii="Verdana" w:hAnsi="Verdana"/>
                <w:sz w:val="16"/>
                <w:szCs w:val="16"/>
                <w:lang w:val="lt-LT"/>
              </w:rPr>
              <w:t xml:space="preserve"> bank</w:t>
            </w:r>
            <w:r w:rsidR="00F17BC3" w:rsidRPr="008048D3">
              <w:rPr>
                <w:rFonts w:ascii="Verdana" w:hAnsi="Verdana"/>
                <w:sz w:val="16"/>
                <w:szCs w:val="16"/>
                <w:lang w:val="lt-LT"/>
              </w:rPr>
              <w:t>o sąskaitą</w:t>
            </w:r>
            <w:r w:rsidR="009B1A13" w:rsidRPr="008048D3">
              <w:rPr>
                <w:rFonts w:ascii="Verdana" w:hAnsi="Verdana"/>
                <w:sz w:val="16"/>
                <w:szCs w:val="16"/>
                <w:lang w:val="lt-LT"/>
              </w:rPr>
              <w:t xml:space="preserve">, </w:t>
            </w:r>
            <w:r w:rsidR="00F17BC3" w:rsidRPr="008048D3">
              <w:rPr>
                <w:rFonts w:ascii="Verdana" w:hAnsi="Verdana"/>
                <w:sz w:val="16"/>
                <w:szCs w:val="16"/>
                <w:lang w:val="lt-LT"/>
              </w:rPr>
              <w:t>kuri bus nurodyta Pasirašymo pavedime</w:t>
            </w:r>
            <w:r w:rsidR="009B1A13" w:rsidRPr="008048D3">
              <w:rPr>
                <w:rFonts w:ascii="Verdana" w:hAnsi="Verdana"/>
                <w:sz w:val="16"/>
                <w:szCs w:val="16"/>
                <w:lang w:val="lt-LT"/>
              </w:rPr>
              <w:t>.</w:t>
            </w:r>
          </w:p>
          <w:p w14:paraId="5E1E12FE" w14:textId="77777777" w:rsidR="009B1A13" w:rsidRPr="008048D3" w:rsidRDefault="009B1A13" w:rsidP="009B1A13">
            <w:pPr>
              <w:jc w:val="both"/>
              <w:rPr>
                <w:rFonts w:ascii="Verdana" w:hAnsi="Verdana"/>
                <w:sz w:val="16"/>
                <w:szCs w:val="16"/>
                <w:lang w:val="lt-LT"/>
              </w:rPr>
            </w:pPr>
          </w:p>
          <w:p w14:paraId="6D35D932" w14:textId="66452D68" w:rsidR="00D02FEC" w:rsidRPr="008048D3" w:rsidRDefault="00F17BC3" w:rsidP="00D02FEC">
            <w:pPr>
              <w:jc w:val="both"/>
              <w:rPr>
                <w:rFonts w:ascii="Verdana" w:hAnsi="Verdana"/>
                <w:sz w:val="16"/>
                <w:szCs w:val="16"/>
                <w:lang w:val="lt-LT"/>
              </w:rPr>
            </w:pPr>
            <w:r w:rsidRPr="008048D3">
              <w:rPr>
                <w:rFonts w:ascii="Verdana" w:hAnsi="Verdana"/>
                <w:sz w:val="16"/>
                <w:szCs w:val="16"/>
                <w:lang w:val="lt-LT"/>
              </w:rPr>
              <w:t>Už sumas, sumokėta</w:t>
            </w:r>
            <w:r w:rsidR="006B6531" w:rsidRPr="008048D3">
              <w:rPr>
                <w:rFonts w:ascii="Verdana" w:hAnsi="Verdana"/>
                <w:sz w:val="16"/>
                <w:szCs w:val="16"/>
                <w:lang w:val="lt-LT"/>
              </w:rPr>
              <w:t>s</w:t>
            </w:r>
            <w:r w:rsidRPr="008048D3">
              <w:rPr>
                <w:rFonts w:ascii="Verdana" w:hAnsi="Verdana"/>
                <w:sz w:val="16"/>
                <w:szCs w:val="16"/>
                <w:lang w:val="lt-LT"/>
              </w:rPr>
              <w:t xml:space="preserve"> už Siūlomas akcijas, palūkanos neskaičiuojamos</w:t>
            </w:r>
            <w:r w:rsidR="009B1A13" w:rsidRPr="008048D3">
              <w:rPr>
                <w:rFonts w:ascii="Verdana" w:hAnsi="Verdana"/>
                <w:sz w:val="16"/>
                <w:szCs w:val="16"/>
                <w:lang w:val="lt-LT"/>
              </w:rPr>
              <w:t xml:space="preserve">. </w:t>
            </w:r>
          </w:p>
        </w:tc>
      </w:tr>
      <w:tr w:rsidR="00D02FEC" w:rsidRPr="00CD3453" w14:paraId="08B7564A" w14:textId="77777777" w:rsidTr="00CA53A5">
        <w:tc>
          <w:tcPr>
            <w:tcW w:w="303" w:type="pct"/>
            <w:gridSpan w:val="2"/>
          </w:tcPr>
          <w:p w14:paraId="5ECC47CC" w14:textId="77777777" w:rsidR="00D02FEC" w:rsidRPr="008048D3" w:rsidRDefault="00D02FEC" w:rsidP="00D02FEC">
            <w:pPr>
              <w:rPr>
                <w:rFonts w:ascii="Verdana" w:hAnsi="Verdana" w:cs="Arial"/>
                <w:sz w:val="16"/>
                <w:szCs w:val="16"/>
                <w:lang w:val="lt-LT"/>
              </w:rPr>
            </w:pPr>
            <w:r w:rsidRPr="008048D3">
              <w:rPr>
                <w:rFonts w:ascii="Verdana" w:hAnsi="Verdana" w:cs="Arial"/>
                <w:sz w:val="16"/>
                <w:szCs w:val="16"/>
                <w:lang w:val="lt-LT"/>
              </w:rPr>
              <w:lastRenderedPageBreak/>
              <w:t>E.4</w:t>
            </w:r>
          </w:p>
        </w:tc>
        <w:tc>
          <w:tcPr>
            <w:tcW w:w="606" w:type="pct"/>
          </w:tcPr>
          <w:p w14:paraId="579D2718" w14:textId="77777777" w:rsidR="00647D75" w:rsidRPr="008048D3" w:rsidRDefault="00647D75" w:rsidP="00D02FEC">
            <w:pPr>
              <w:spacing w:after="40"/>
              <w:rPr>
                <w:rFonts w:ascii="Verdana" w:hAnsi="Verdana" w:cs="Arial"/>
                <w:sz w:val="16"/>
                <w:szCs w:val="16"/>
                <w:lang w:val="lt-LT"/>
              </w:rPr>
            </w:pPr>
            <w:r w:rsidRPr="008048D3">
              <w:rPr>
                <w:rFonts w:ascii="Verdana" w:hAnsi="Verdana" w:cs="Arial"/>
                <w:sz w:val="16"/>
                <w:szCs w:val="16"/>
                <w:lang w:val="lt-LT"/>
              </w:rPr>
              <w:t xml:space="preserve">Interesai, reikšmingi Emisijai / Konfliktinio pobūdžio interesai  </w:t>
            </w:r>
          </w:p>
          <w:p w14:paraId="5DEB47A8" w14:textId="42F1B7EF" w:rsidR="00D02FEC" w:rsidRPr="008048D3" w:rsidRDefault="00D02FEC" w:rsidP="00D02FEC">
            <w:pPr>
              <w:spacing w:after="40"/>
              <w:rPr>
                <w:rFonts w:ascii="Verdana" w:hAnsi="Verdana" w:cs="Arial"/>
                <w:sz w:val="16"/>
                <w:szCs w:val="16"/>
                <w:lang w:val="lt-LT"/>
              </w:rPr>
            </w:pPr>
          </w:p>
        </w:tc>
        <w:tc>
          <w:tcPr>
            <w:tcW w:w="4090" w:type="pct"/>
          </w:tcPr>
          <w:p w14:paraId="11A252B7" w14:textId="2F08F0E1" w:rsidR="00D02FEC" w:rsidRPr="008048D3" w:rsidRDefault="004E28BD" w:rsidP="00D02FEC">
            <w:pPr>
              <w:jc w:val="both"/>
              <w:rPr>
                <w:rFonts w:ascii="Verdana" w:hAnsi="Verdana" w:cs="Arial"/>
                <w:sz w:val="16"/>
                <w:szCs w:val="16"/>
                <w:lang w:val="lt-LT"/>
              </w:rPr>
            </w:pPr>
            <w:r w:rsidRPr="008048D3">
              <w:rPr>
                <w:rFonts w:ascii="Verdana" w:hAnsi="Verdana" w:cs="Arial"/>
                <w:sz w:val="16"/>
                <w:szCs w:val="16"/>
                <w:lang w:val="lt-LT"/>
              </w:rPr>
              <w:t>Pasaulini</w:t>
            </w:r>
            <w:r w:rsidR="00C0703F" w:rsidRPr="008048D3">
              <w:rPr>
                <w:rFonts w:ascii="Verdana" w:hAnsi="Verdana" w:cs="Arial"/>
                <w:sz w:val="16"/>
                <w:szCs w:val="16"/>
                <w:lang w:val="lt-LT"/>
              </w:rPr>
              <w:t>s</w:t>
            </w:r>
            <w:r w:rsidRPr="008048D3">
              <w:rPr>
                <w:rFonts w:ascii="Verdana" w:hAnsi="Verdana" w:cs="Arial"/>
                <w:sz w:val="16"/>
                <w:szCs w:val="16"/>
                <w:lang w:val="lt-LT"/>
              </w:rPr>
              <w:t xml:space="preserve"> pagrindini</w:t>
            </w:r>
            <w:r w:rsidR="00C0703F" w:rsidRPr="008048D3">
              <w:rPr>
                <w:rFonts w:ascii="Verdana" w:hAnsi="Verdana" w:cs="Arial"/>
                <w:sz w:val="16"/>
                <w:szCs w:val="16"/>
                <w:lang w:val="lt-LT"/>
              </w:rPr>
              <w:t>s</w:t>
            </w:r>
            <w:r w:rsidRPr="008048D3">
              <w:rPr>
                <w:rFonts w:ascii="Verdana" w:hAnsi="Verdana" w:cs="Arial"/>
                <w:sz w:val="16"/>
                <w:szCs w:val="16"/>
                <w:lang w:val="lt-LT"/>
              </w:rPr>
              <w:t xml:space="preserve"> platintoj</w:t>
            </w:r>
            <w:r w:rsidR="00C0703F" w:rsidRPr="008048D3">
              <w:rPr>
                <w:rFonts w:ascii="Verdana" w:hAnsi="Verdana" w:cs="Arial"/>
                <w:sz w:val="16"/>
                <w:szCs w:val="16"/>
                <w:lang w:val="lt-LT"/>
              </w:rPr>
              <w:t>as</w:t>
            </w:r>
            <w:r w:rsidR="00D02FEC" w:rsidRPr="008048D3">
              <w:rPr>
                <w:rFonts w:ascii="Verdana" w:hAnsi="Verdana" w:cs="Arial"/>
                <w:sz w:val="16"/>
                <w:szCs w:val="16"/>
                <w:lang w:val="lt-LT"/>
              </w:rPr>
              <w:t xml:space="preserve"> </w:t>
            </w:r>
            <w:r w:rsidR="00C0703F" w:rsidRPr="008048D3">
              <w:rPr>
                <w:rFonts w:ascii="Verdana" w:hAnsi="Verdana" w:cs="Arial"/>
                <w:sz w:val="16"/>
                <w:szCs w:val="16"/>
                <w:lang w:val="lt-LT"/>
              </w:rPr>
              <w:t xml:space="preserve">turi sutartinius santykius su Emitentu ir su </w:t>
            </w:r>
            <w:r w:rsidR="00180364" w:rsidRPr="008048D3">
              <w:rPr>
                <w:rFonts w:ascii="Verdana" w:hAnsi="Verdana" w:cs="Arial"/>
                <w:sz w:val="16"/>
                <w:szCs w:val="16"/>
                <w:lang w:val="lt-LT"/>
              </w:rPr>
              <w:t>Parduodan</w:t>
            </w:r>
            <w:r w:rsidR="00C0703F" w:rsidRPr="008048D3">
              <w:rPr>
                <w:rFonts w:ascii="Verdana" w:hAnsi="Verdana" w:cs="Arial"/>
                <w:sz w:val="16"/>
                <w:szCs w:val="16"/>
                <w:lang w:val="lt-LT"/>
              </w:rPr>
              <w:t xml:space="preserve">čiu </w:t>
            </w:r>
            <w:r w:rsidR="00180364" w:rsidRPr="008048D3">
              <w:rPr>
                <w:rFonts w:ascii="Verdana" w:hAnsi="Verdana" w:cs="Arial"/>
                <w:sz w:val="16"/>
                <w:szCs w:val="16"/>
                <w:lang w:val="lt-LT"/>
              </w:rPr>
              <w:t>akcinink</w:t>
            </w:r>
            <w:r w:rsidR="00C0703F" w:rsidRPr="008048D3">
              <w:rPr>
                <w:rFonts w:ascii="Verdana" w:hAnsi="Verdana" w:cs="Arial"/>
                <w:sz w:val="16"/>
                <w:szCs w:val="16"/>
                <w:lang w:val="lt-LT"/>
              </w:rPr>
              <w:t xml:space="preserve">u dėl Siūlymo ir Įtraukimo į prekybą ir yra įgaliotas veikti kaip Pasaulinis pagrindinis platintojas dėl Siūlymo ir Naujų akcijų Įtraukimo į prekybą </w:t>
            </w:r>
            <w:proofErr w:type="spellStart"/>
            <w:r w:rsidR="00D02FEC" w:rsidRPr="008048D3">
              <w:rPr>
                <w:rFonts w:ascii="Verdana" w:hAnsi="Verdana" w:cs="Arial"/>
                <w:sz w:val="16"/>
                <w:szCs w:val="16"/>
                <w:lang w:val="lt-LT"/>
              </w:rPr>
              <w:t>Nasdaq</w:t>
            </w:r>
            <w:proofErr w:type="spellEnd"/>
            <w:r w:rsidR="00D02FEC" w:rsidRPr="008048D3">
              <w:rPr>
                <w:rFonts w:ascii="Verdana" w:hAnsi="Verdana" w:cs="Arial"/>
                <w:sz w:val="16"/>
                <w:szCs w:val="16"/>
                <w:lang w:val="lt-LT"/>
              </w:rPr>
              <w:t xml:space="preserve"> Vilnius </w:t>
            </w:r>
            <w:r w:rsidR="00C0703F" w:rsidRPr="008048D3">
              <w:rPr>
                <w:rFonts w:ascii="Verdana" w:hAnsi="Verdana" w:cs="Arial"/>
                <w:sz w:val="16"/>
                <w:szCs w:val="16"/>
                <w:lang w:val="lt-LT"/>
              </w:rPr>
              <w:t xml:space="preserve">ir </w:t>
            </w:r>
            <w:r w:rsidR="00D02FEC" w:rsidRPr="008048D3">
              <w:rPr>
                <w:rFonts w:ascii="Verdana" w:hAnsi="Verdana" w:cs="Arial"/>
                <w:sz w:val="16"/>
                <w:szCs w:val="16"/>
                <w:lang w:val="lt-LT"/>
              </w:rPr>
              <w:t>WSE.</w:t>
            </w:r>
          </w:p>
          <w:p w14:paraId="1B4BFB44" w14:textId="77777777" w:rsidR="00D02FEC" w:rsidRPr="008048D3" w:rsidRDefault="00D02FEC" w:rsidP="00D02FEC">
            <w:pPr>
              <w:jc w:val="both"/>
              <w:rPr>
                <w:rFonts w:ascii="Verdana" w:hAnsi="Verdana" w:cs="Arial"/>
                <w:sz w:val="16"/>
                <w:szCs w:val="16"/>
                <w:lang w:val="lt-LT"/>
              </w:rPr>
            </w:pPr>
          </w:p>
          <w:p w14:paraId="4CF32FCD" w14:textId="07A28AB6" w:rsidR="00D02FEC" w:rsidRPr="008048D3" w:rsidRDefault="00CF4E0F" w:rsidP="00D02FEC">
            <w:pPr>
              <w:jc w:val="both"/>
              <w:rPr>
                <w:rFonts w:ascii="Verdana" w:hAnsi="Verdana" w:cs="Arial"/>
                <w:sz w:val="16"/>
                <w:szCs w:val="16"/>
                <w:lang w:val="lt-LT"/>
              </w:rPr>
            </w:pPr>
            <w:r w:rsidRPr="008048D3">
              <w:rPr>
                <w:rFonts w:ascii="Verdana" w:hAnsi="Verdana" w:cs="Arial"/>
                <w:sz w:val="16"/>
                <w:szCs w:val="16"/>
                <w:lang w:val="lt-LT"/>
              </w:rPr>
              <w:t xml:space="preserve">Pasaulinis pagrindinis platintojas konsultuoja Emitentą ir </w:t>
            </w:r>
            <w:r w:rsidR="00180364" w:rsidRPr="008048D3">
              <w:rPr>
                <w:rFonts w:ascii="Verdana" w:hAnsi="Verdana" w:cs="Arial"/>
                <w:sz w:val="16"/>
                <w:szCs w:val="16"/>
                <w:lang w:val="lt-LT"/>
              </w:rPr>
              <w:t>Parduodant</w:t>
            </w:r>
            <w:r w:rsidRPr="008048D3">
              <w:rPr>
                <w:rFonts w:ascii="Verdana" w:hAnsi="Verdana" w:cs="Arial"/>
                <w:sz w:val="16"/>
                <w:szCs w:val="16"/>
                <w:lang w:val="lt-LT"/>
              </w:rPr>
              <w:t>į</w:t>
            </w:r>
            <w:r w:rsidR="00180364" w:rsidRPr="008048D3">
              <w:rPr>
                <w:rFonts w:ascii="Verdana" w:hAnsi="Verdana" w:cs="Arial"/>
                <w:sz w:val="16"/>
                <w:szCs w:val="16"/>
                <w:lang w:val="lt-LT"/>
              </w:rPr>
              <w:t xml:space="preserve"> akcinink</w:t>
            </w:r>
            <w:r w:rsidRPr="008048D3">
              <w:rPr>
                <w:rFonts w:ascii="Verdana" w:hAnsi="Verdana" w:cs="Arial"/>
                <w:sz w:val="16"/>
                <w:szCs w:val="16"/>
                <w:lang w:val="lt-LT"/>
              </w:rPr>
              <w:t>ą</w:t>
            </w:r>
            <w:r w:rsidR="00D02FEC" w:rsidRPr="008048D3">
              <w:rPr>
                <w:rFonts w:ascii="Verdana" w:hAnsi="Verdana" w:cs="Arial"/>
                <w:sz w:val="16"/>
                <w:szCs w:val="16"/>
                <w:lang w:val="lt-LT"/>
              </w:rPr>
              <w:t xml:space="preserve"> </w:t>
            </w:r>
            <w:r w:rsidRPr="008048D3">
              <w:rPr>
                <w:rFonts w:ascii="Verdana" w:hAnsi="Verdana" w:cs="Arial"/>
                <w:sz w:val="16"/>
                <w:szCs w:val="16"/>
                <w:lang w:val="lt-LT"/>
              </w:rPr>
              <w:t>dėl Siūlymo ir Įtraukimo į prekybą ir k</w:t>
            </w:r>
            <w:r w:rsidR="00D02FEC" w:rsidRPr="008048D3">
              <w:rPr>
                <w:rFonts w:ascii="Verdana" w:hAnsi="Verdana" w:cs="Arial"/>
                <w:sz w:val="16"/>
                <w:szCs w:val="16"/>
                <w:lang w:val="lt-LT"/>
              </w:rPr>
              <w:t>oordin</w:t>
            </w:r>
            <w:r w:rsidRPr="008048D3">
              <w:rPr>
                <w:rFonts w:ascii="Verdana" w:hAnsi="Verdana" w:cs="Arial"/>
                <w:sz w:val="16"/>
                <w:szCs w:val="16"/>
                <w:lang w:val="lt-LT"/>
              </w:rPr>
              <w:t>uoja sandorio struktūrą ir vykdymą</w:t>
            </w:r>
            <w:r w:rsidR="00D02FEC" w:rsidRPr="008048D3">
              <w:rPr>
                <w:rFonts w:ascii="Verdana" w:hAnsi="Verdana" w:cs="Arial"/>
                <w:sz w:val="16"/>
                <w:szCs w:val="16"/>
                <w:lang w:val="lt-LT"/>
              </w:rPr>
              <w:t xml:space="preserve">. </w:t>
            </w:r>
            <w:r w:rsidRPr="008048D3">
              <w:rPr>
                <w:rFonts w:ascii="Verdana" w:hAnsi="Verdana" w:cs="Arial"/>
                <w:sz w:val="16"/>
                <w:szCs w:val="16"/>
                <w:lang w:val="lt-LT"/>
              </w:rPr>
              <w:t>Be to</w:t>
            </w:r>
            <w:r w:rsidR="00D02FEC" w:rsidRPr="008048D3">
              <w:rPr>
                <w:rFonts w:ascii="Verdana" w:hAnsi="Verdana" w:cs="Arial"/>
                <w:sz w:val="16"/>
                <w:szCs w:val="16"/>
                <w:lang w:val="lt-LT"/>
              </w:rPr>
              <w:t xml:space="preserve">, </w:t>
            </w:r>
            <w:r w:rsidRPr="008048D3">
              <w:rPr>
                <w:rFonts w:ascii="Verdana" w:hAnsi="Verdana" w:cs="Arial"/>
                <w:sz w:val="16"/>
                <w:szCs w:val="16"/>
                <w:lang w:val="lt-LT"/>
              </w:rPr>
              <w:t xml:space="preserve">Pasaulinis pagrindinis platintojas dalyvauja </w:t>
            </w:r>
            <w:r w:rsidR="00D02FEC" w:rsidRPr="008048D3">
              <w:rPr>
                <w:rFonts w:ascii="Verdana" w:hAnsi="Verdana" w:cs="Arial"/>
                <w:sz w:val="16"/>
                <w:szCs w:val="16"/>
                <w:lang w:val="lt-LT"/>
              </w:rPr>
              <w:t>Prospe</w:t>
            </w:r>
            <w:r w:rsidRPr="008048D3">
              <w:rPr>
                <w:rFonts w:ascii="Verdana" w:hAnsi="Verdana" w:cs="Arial"/>
                <w:sz w:val="16"/>
                <w:szCs w:val="16"/>
                <w:lang w:val="lt-LT"/>
              </w:rPr>
              <w:t xml:space="preserve">kto rengimo </w:t>
            </w:r>
            <w:r w:rsidR="00D02FEC" w:rsidRPr="008048D3">
              <w:rPr>
                <w:rFonts w:ascii="Verdana" w:hAnsi="Verdana" w:cs="Arial"/>
                <w:sz w:val="16"/>
                <w:szCs w:val="16"/>
                <w:lang w:val="lt-LT"/>
              </w:rPr>
              <w:t>proces</w:t>
            </w:r>
            <w:r w:rsidRPr="008048D3">
              <w:rPr>
                <w:rFonts w:ascii="Verdana" w:hAnsi="Verdana" w:cs="Arial"/>
                <w:sz w:val="16"/>
                <w:szCs w:val="16"/>
                <w:lang w:val="lt-LT"/>
              </w:rPr>
              <w:t>e</w:t>
            </w:r>
            <w:r w:rsidR="00D02FEC" w:rsidRPr="008048D3">
              <w:rPr>
                <w:rFonts w:ascii="Verdana" w:hAnsi="Verdana" w:cs="Arial"/>
                <w:sz w:val="16"/>
                <w:szCs w:val="16"/>
                <w:lang w:val="lt-LT"/>
              </w:rPr>
              <w:t>.</w:t>
            </w:r>
            <w:r w:rsidRPr="008048D3">
              <w:rPr>
                <w:rFonts w:ascii="Verdana" w:hAnsi="Verdana" w:cs="Arial"/>
                <w:sz w:val="16"/>
                <w:szCs w:val="16"/>
                <w:lang w:val="lt-LT"/>
              </w:rPr>
              <w:t xml:space="preserve"> Jei sandoris bus sėkmingai įvykdytas</w:t>
            </w:r>
            <w:r w:rsidR="00D02FEC" w:rsidRPr="008048D3">
              <w:rPr>
                <w:rFonts w:ascii="Verdana" w:hAnsi="Verdana" w:cs="Arial"/>
                <w:sz w:val="16"/>
                <w:szCs w:val="16"/>
                <w:lang w:val="lt-LT"/>
              </w:rPr>
              <w:t xml:space="preserve">, </w:t>
            </w:r>
            <w:r w:rsidRPr="008048D3">
              <w:rPr>
                <w:rFonts w:ascii="Verdana" w:hAnsi="Verdana" w:cs="Arial"/>
                <w:sz w:val="16"/>
                <w:szCs w:val="16"/>
                <w:lang w:val="lt-LT"/>
              </w:rPr>
              <w:t>Pasaulinis pagrindinis platintojas gaus komisinius, kurie priklausys nuo parduotų Siūlomų akcijų faktinės vertės</w:t>
            </w:r>
            <w:r w:rsidR="00D02FEC" w:rsidRPr="008048D3">
              <w:rPr>
                <w:rFonts w:ascii="Verdana" w:hAnsi="Verdana" w:cs="Arial"/>
                <w:sz w:val="16"/>
                <w:szCs w:val="16"/>
                <w:lang w:val="lt-LT"/>
              </w:rPr>
              <w:t>.</w:t>
            </w:r>
          </w:p>
          <w:p w14:paraId="287DABFB" w14:textId="77777777" w:rsidR="00D02FEC" w:rsidRPr="008048D3" w:rsidRDefault="00D02FEC" w:rsidP="00D02FEC">
            <w:pPr>
              <w:jc w:val="both"/>
              <w:rPr>
                <w:rFonts w:ascii="Verdana" w:hAnsi="Verdana" w:cs="Arial"/>
                <w:sz w:val="16"/>
                <w:szCs w:val="16"/>
                <w:lang w:val="lt-LT"/>
              </w:rPr>
            </w:pPr>
          </w:p>
          <w:p w14:paraId="783B9439" w14:textId="5FCC351C" w:rsidR="00D02FEC" w:rsidRPr="008048D3" w:rsidRDefault="00313E34" w:rsidP="00D02FEC">
            <w:pPr>
              <w:jc w:val="both"/>
              <w:rPr>
                <w:rFonts w:ascii="Verdana" w:hAnsi="Verdana" w:cs="Arial"/>
                <w:sz w:val="16"/>
                <w:szCs w:val="16"/>
                <w:lang w:val="lt-LT"/>
              </w:rPr>
            </w:pPr>
            <w:r w:rsidRPr="008048D3">
              <w:rPr>
                <w:rFonts w:ascii="Verdana" w:hAnsi="Verdana" w:cs="Arial"/>
                <w:sz w:val="16"/>
                <w:szCs w:val="16"/>
                <w:lang w:val="lt-LT"/>
              </w:rPr>
              <w:t>Pasaulinis pagrindinis platintojas a</w:t>
            </w:r>
            <w:r w:rsidR="00D02FEC" w:rsidRPr="008048D3">
              <w:rPr>
                <w:rFonts w:ascii="Verdana" w:hAnsi="Verdana" w:cs="Arial"/>
                <w:sz w:val="16"/>
                <w:szCs w:val="16"/>
                <w:lang w:val="lt-LT"/>
              </w:rPr>
              <w:t>r</w:t>
            </w:r>
            <w:r w:rsidRPr="008048D3">
              <w:rPr>
                <w:rFonts w:ascii="Verdana" w:hAnsi="Verdana" w:cs="Arial"/>
                <w:sz w:val="16"/>
                <w:szCs w:val="16"/>
                <w:lang w:val="lt-LT"/>
              </w:rPr>
              <w:t xml:space="preserve"> </w:t>
            </w:r>
            <w:r w:rsidR="000005FD" w:rsidRPr="008048D3">
              <w:rPr>
                <w:rFonts w:ascii="Verdana" w:hAnsi="Verdana" w:cs="Arial"/>
                <w:sz w:val="16"/>
                <w:szCs w:val="16"/>
                <w:lang w:val="lt-LT"/>
              </w:rPr>
              <w:t>su juo susiję asmenys</w:t>
            </w:r>
            <w:r w:rsidRPr="008048D3">
              <w:rPr>
                <w:rFonts w:ascii="Verdana" w:hAnsi="Verdana" w:cs="Arial"/>
                <w:sz w:val="16"/>
                <w:szCs w:val="16"/>
                <w:lang w:val="lt-LT"/>
              </w:rPr>
              <w:t xml:space="preserve"> gali įsigyti vykdant Siūlymą Siūlomų akcijų kaip Investuotojas ir tokias Akcijas laikyti arba parduoti savo sąskaita taip pat ir pasibaigus Siūlymo laikotarpiui</w:t>
            </w:r>
            <w:r w:rsidR="00D02FEC" w:rsidRPr="008048D3">
              <w:rPr>
                <w:rFonts w:ascii="Verdana" w:hAnsi="Verdana" w:cs="Arial"/>
                <w:sz w:val="16"/>
                <w:szCs w:val="16"/>
                <w:lang w:val="lt-LT"/>
              </w:rPr>
              <w:t xml:space="preserve">, </w:t>
            </w:r>
            <w:r w:rsidRPr="008048D3">
              <w:rPr>
                <w:rFonts w:ascii="Verdana" w:hAnsi="Verdana" w:cs="Arial"/>
                <w:sz w:val="16"/>
                <w:szCs w:val="16"/>
                <w:lang w:val="lt-LT"/>
              </w:rPr>
              <w:t>kas nebus laikoma privilegijuot</w:t>
            </w:r>
            <w:r w:rsidR="006B6531" w:rsidRPr="008048D3">
              <w:rPr>
                <w:rFonts w:ascii="Verdana" w:hAnsi="Verdana" w:cs="Arial"/>
                <w:sz w:val="16"/>
                <w:szCs w:val="16"/>
                <w:lang w:val="lt-LT"/>
              </w:rPr>
              <w:t>u</w:t>
            </w:r>
            <w:r w:rsidRPr="008048D3">
              <w:rPr>
                <w:rFonts w:ascii="Verdana" w:hAnsi="Verdana" w:cs="Arial"/>
                <w:sz w:val="16"/>
                <w:szCs w:val="16"/>
                <w:lang w:val="lt-LT"/>
              </w:rPr>
              <w:t xml:space="preserve"> paskirstymu</w:t>
            </w:r>
            <w:r w:rsidR="00D02FEC" w:rsidRPr="008048D3">
              <w:rPr>
                <w:rFonts w:ascii="Verdana" w:hAnsi="Verdana" w:cs="Arial"/>
                <w:sz w:val="16"/>
                <w:szCs w:val="16"/>
                <w:lang w:val="lt-LT"/>
              </w:rPr>
              <w:t xml:space="preserve">. </w:t>
            </w:r>
            <w:r w:rsidRPr="008048D3">
              <w:rPr>
                <w:rFonts w:ascii="Verdana" w:hAnsi="Verdana" w:cs="Arial"/>
                <w:sz w:val="16"/>
                <w:szCs w:val="16"/>
                <w:lang w:val="lt-LT"/>
              </w:rPr>
              <w:t>Pasaulinis pagrindinis platintojas neketina atskleist</w:t>
            </w:r>
            <w:r w:rsidR="00D97CA5" w:rsidRPr="008048D3">
              <w:rPr>
                <w:rFonts w:ascii="Verdana" w:hAnsi="Verdana" w:cs="Arial"/>
                <w:sz w:val="16"/>
                <w:szCs w:val="16"/>
                <w:lang w:val="lt-LT"/>
              </w:rPr>
              <w:t>i</w:t>
            </w:r>
            <w:r w:rsidRPr="008048D3">
              <w:rPr>
                <w:rFonts w:ascii="Verdana" w:hAnsi="Verdana" w:cs="Arial"/>
                <w:sz w:val="16"/>
                <w:szCs w:val="16"/>
                <w:lang w:val="lt-LT"/>
              </w:rPr>
              <w:t xml:space="preserve"> tokių investicijų arba sandorių dydžio</w:t>
            </w:r>
            <w:r w:rsidR="00D97CA5" w:rsidRPr="008048D3">
              <w:rPr>
                <w:rFonts w:ascii="Verdana" w:hAnsi="Verdana" w:cs="Arial"/>
                <w:sz w:val="16"/>
                <w:szCs w:val="16"/>
                <w:lang w:val="lt-LT"/>
              </w:rPr>
              <w:t>, nebent to reikalautų įstatymai</w:t>
            </w:r>
            <w:r w:rsidR="00D02FEC" w:rsidRPr="008048D3">
              <w:rPr>
                <w:rFonts w:ascii="Verdana" w:hAnsi="Verdana" w:cs="Arial"/>
                <w:sz w:val="16"/>
                <w:szCs w:val="16"/>
                <w:lang w:val="lt-LT"/>
              </w:rPr>
              <w:t>.</w:t>
            </w:r>
          </w:p>
          <w:p w14:paraId="20B238F5" w14:textId="77777777" w:rsidR="00D02FEC" w:rsidRPr="008048D3" w:rsidRDefault="00D02FEC" w:rsidP="00D02FEC">
            <w:pPr>
              <w:jc w:val="both"/>
              <w:rPr>
                <w:rFonts w:ascii="Verdana" w:hAnsi="Verdana" w:cs="Arial"/>
                <w:sz w:val="16"/>
                <w:szCs w:val="16"/>
                <w:lang w:val="lt-LT"/>
              </w:rPr>
            </w:pPr>
          </w:p>
          <w:p w14:paraId="2628DD1D" w14:textId="32E4AB68" w:rsidR="00D02FEC" w:rsidRPr="008048D3" w:rsidRDefault="000B593C" w:rsidP="00D02FEC">
            <w:pPr>
              <w:jc w:val="both"/>
              <w:rPr>
                <w:rFonts w:ascii="Verdana" w:hAnsi="Verdana" w:cs="Arial"/>
                <w:sz w:val="16"/>
                <w:szCs w:val="16"/>
                <w:lang w:val="lt-LT"/>
              </w:rPr>
            </w:pPr>
            <w:r w:rsidRPr="008048D3">
              <w:rPr>
                <w:rFonts w:ascii="Verdana" w:hAnsi="Verdana" w:cs="Arial"/>
                <w:sz w:val="16"/>
                <w:szCs w:val="16"/>
                <w:lang w:val="lt-LT"/>
              </w:rPr>
              <w:t xml:space="preserve">Pasaulinis pagrindinis platintojas ir </w:t>
            </w:r>
            <w:r w:rsidR="000005FD" w:rsidRPr="008048D3">
              <w:rPr>
                <w:rFonts w:ascii="Verdana" w:hAnsi="Verdana" w:cs="Arial"/>
                <w:sz w:val="16"/>
                <w:szCs w:val="16"/>
                <w:lang w:val="lt-LT"/>
              </w:rPr>
              <w:t>su juo susiję asmenys</w:t>
            </w:r>
            <w:r w:rsidRPr="008048D3">
              <w:rPr>
                <w:rFonts w:ascii="Verdana" w:hAnsi="Verdana" w:cs="Arial"/>
                <w:sz w:val="16"/>
                <w:szCs w:val="16"/>
                <w:lang w:val="lt-LT"/>
              </w:rPr>
              <w:t xml:space="preserve"> galėjo dalyvauti ir ateityje gali dalyvauti teikiant investicinės bankininkystės, konsultacines paslaugas ir sudarant kitus komercinius sandorius įprastiniuose verslo santykiuose su Bendrove ir Stambiaisiais akcininkais ar kuriais nors </w:t>
            </w:r>
            <w:r w:rsidR="000005FD" w:rsidRPr="008048D3">
              <w:rPr>
                <w:rFonts w:ascii="Verdana" w:hAnsi="Verdana" w:cs="Arial"/>
                <w:sz w:val="16"/>
                <w:szCs w:val="16"/>
                <w:lang w:val="lt-LT"/>
              </w:rPr>
              <w:t>su jais susijusiais asmenimis</w:t>
            </w:r>
            <w:r w:rsidRPr="008048D3">
              <w:rPr>
                <w:rFonts w:ascii="Verdana" w:hAnsi="Verdana" w:cs="Arial"/>
                <w:sz w:val="16"/>
                <w:szCs w:val="16"/>
                <w:lang w:val="lt-LT"/>
              </w:rPr>
              <w:t xml:space="preserve">. Pasaulinis pagrindinis platintojas ir </w:t>
            </w:r>
            <w:r w:rsidR="000005FD" w:rsidRPr="008048D3">
              <w:rPr>
                <w:rFonts w:ascii="Verdana" w:hAnsi="Verdana" w:cs="Arial"/>
                <w:sz w:val="16"/>
                <w:szCs w:val="16"/>
                <w:lang w:val="lt-LT"/>
              </w:rPr>
              <w:t xml:space="preserve">su juo susiję asmenys </w:t>
            </w:r>
            <w:r w:rsidRPr="008048D3">
              <w:rPr>
                <w:rFonts w:ascii="Verdana" w:hAnsi="Verdana" w:cs="Arial"/>
                <w:sz w:val="16"/>
                <w:szCs w:val="16"/>
                <w:lang w:val="lt-LT"/>
              </w:rPr>
              <w:t>gavo ir ateityje gali gauti įprastus mokesčius ir komisinius už tokius sandorius ir paslaugas</w:t>
            </w:r>
            <w:r w:rsidR="00D02FEC" w:rsidRPr="008048D3">
              <w:rPr>
                <w:rFonts w:ascii="Verdana" w:hAnsi="Verdana" w:cs="Arial"/>
                <w:sz w:val="16"/>
                <w:szCs w:val="16"/>
                <w:lang w:val="lt-LT"/>
              </w:rPr>
              <w:t>.</w:t>
            </w:r>
          </w:p>
        </w:tc>
      </w:tr>
      <w:tr w:rsidR="00D02FEC" w:rsidRPr="00CD3453" w14:paraId="5BC8F829" w14:textId="77777777" w:rsidTr="00CA53A5">
        <w:tc>
          <w:tcPr>
            <w:tcW w:w="303" w:type="pct"/>
            <w:gridSpan w:val="2"/>
          </w:tcPr>
          <w:p w14:paraId="7C76038F" w14:textId="77777777" w:rsidR="00D02FEC" w:rsidRPr="008048D3" w:rsidRDefault="00D02FEC" w:rsidP="00D02FEC">
            <w:pPr>
              <w:rPr>
                <w:rFonts w:ascii="Verdana" w:hAnsi="Verdana" w:cs="Arial"/>
                <w:sz w:val="16"/>
                <w:szCs w:val="16"/>
                <w:lang w:val="lt-LT"/>
              </w:rPr>
            </w:pPr>
            <w:r w:rsidRPr="008048D3">
              <w:rPr>
                <w:rFonts w:ascii="Verdana" w:hAnsi="Verdana" w:cs="Arial"/>
                <w:sz w:val="16"/>
                <w:szCs w:val="16"/>
                <w:lang w:val="lt-LT"/>
              </w:rPr>
              <w:lastRenderedPageBreak/>
              <w:t>E.5</w:t>
            </w:r>
          </w:p>
        </w:tc>
        <w:tc>
          <w:tcPr>
            <w:tcW w:w="606" w:type="pct"/>
          </w:tcPr>
          <w:p w14:paraId="56738B5F" w14:textId="252568C3" w:rsidR="00D02FEC" w:rsidRPr="008048D3" w:rsidRDefault="00647D75" w:rsidP="00D02FEC">
            <w:pPr>
              <w:spacing w:after="40"/>
              <w:rPr>
                <w:rFonts w:ascii="Verdana" w:hAnsi="Verdana" w:cs="Arial"/>
                <w:sz w:val="16"/>
                <w:szCs w:val="16"/>
                <w:lang w:val="lt-LT"/>
              </w:rPr>
            </w:pPr>
            <w:r w:rsidRPr="008048D3">
              <w:rPr>
                <w:rFonts w:ascii="Verdana" w:hAnsi="Verdana" w:cs="Arial"/>
                <w:sz w:val="16"/>
                <w:szCs w:val="16"/>
                <w:lang w:val="lt-LT"/>
              </w:rPr>
              <w:t xml:space="preserve">Asmens arba subjekto, siūlančio parduoti vertybinius popierius, vardas, pavardė arba pavadinimas. Susitarimai dėl kapitalo įšaldymo: susijusios šalys; kapitalo įšaldymo laikotarpis  </w:t>
            </w:r>
          </w:p>
        </w:tc>
        <w:tc>
          <w:tcPr>
            <w:tcW w:w="4090" w:type="pct"/>
          </w:tcPr>
          <w:p w14:paraId="575FC036" w14:textId="0D9196DD" w:rsidR="00D02FEC" w:rsidRPr="008048D3" w:rsidRDefault="003B74C3" w:rsidP="00D02FEC">
            <w:pPr>
              <w:jc w:val="both"/>
              <w:rPr>
                <w:rFonts w:ascii="Verdana" w:hAnsi="Verdana"/>
                <w:sz w:val="16"/>
                <w:szCs w:val="16"/>
                <w:lang w:val="lt-LT"/>
              </w:rPr>
            </w:pPr>
            <w:r w:rsidRPr="008048D3">
              <w:rPr>
                <w:rFonts w:ascii="Verdana" w:hAnsi="Verdana"/>
                <w:sz w:val="16"/>
                <w:szCs w:val="16"/>
                <w:lang w:val="lt-LT"/>
              </w:rPr>
              <w:t xml:space="preserve">Bendrovė siūlo iki </w:t>
            </w:r>
            <w:r w:rsidR="00B72BE5" w:rsidRPr="008048D3">
              <w:rPr>
                <w:rFonts w:ascii="Verdana" w:hAnsi="Verdana"/>
                <w:sz w:val="16"/>
                <w:szCs w:val="16"/>
                <w:lang w:val="lt-LT"/>
              </w:rPr>
              <w:t>4</w:t>
            </w:r>
            <w:r w:rsidR="00D02FEC" w:rsidRPr="008048D3">
              <w:rPr>
                <w:rFonts w:ascii="Verdana" w:hAnsi="Verdana"/>
                <w:sz w:val="16"/>
                <w:szCs w:val="16"/>
                <w:lang w:val="lt-LT"/>
              </w:rPr>
              <w:t>0</w:t>
            </w:r>
            <w:r w:rsidRPr="008048D3">
              <w:rPr>
                <w:rFonts w:ascii="Verdana" w:hAnsi="Verdana"/>
                <w:sz w:val="16"/>
                <w:szCs w:val="16"/>
                <w:lang w:val="lt-LT"/>
              </w:rPr>
              <w:t> </w:t>
            </w:r>
            <w:r w:rsidR="00D02FEC" w:rsidRPr="008048D3">
              <w:rPr>
                <w:rFonts w:ascii="Verdana" w:hAnsi="Verdana"/>
                <w:sz w:val="16"/>
                <w:szCs w:val="16"/>
                <w:lang w:val="lt-LT"/>
              </w:rPr>
              <w:t>000</w:t>
            </w:r>
            <w:r w:rsidRPr="008048D3">
              <w:rPr>
                <w:rFonts w:ascii="Verdana" w:hAnsi="Verdana"/>
                <w:sz w:val="16"/>
                <w:szCs w:val="16"/>
                <w:lang w:val="lt-LT"/>
              </w:rPr>
              <w:t xml:space="preserve"> </w:t>
            </w:r>
            <w:r w:rsidR="00D02FEC" w:rsidRPr="008048D3">
              <w:rPr>
                <w:rFonts w:ascii="Verdana" w:hAnsi="Verdana"/>
                <w:sz w:val="16"/>
                <w:szCs w:val="16"/>
                <w:lang w:val="lt-LT"/>
              </w:rPr>
              <w:t>000 N</w:t>
            </w:r>
            <w:r w:rsidRPr="008048D3">
              <w:rPr>
                <w:rFonts w:ascii="Verdana" w:hAnsi="Verdana"/>
                <w:sz w:val="16"/>
                <w:szCs w:val="16"/>
                <w:lang w:val="lt-LT"/>
              </w:rPr>
              <w:t xml:space="preserve">aujų akcijų, o </w:t>
            </w:r>
            <w:r w:rsidR="00180364" w:rsidRPr="008048D3">
              <w:rPr>
                <w:rFonts w:ascii="Verdana" w:hAnsi="Verdana"/>
                <w:sz w:val="16"/>
                <w:szCs w:val="16"/>
                <w:lang w:val="lt-LT"/>
              </w:rPr>
              <w:t>Parduodantis akcininkas</w:t>
            </w:r>
            <w:r w:rsidR="00D02FEC" w:rsidRPr="008048D3">
              <w:rPr>
                <w:rFonts w:ascii="Verdana" w:hAnsi="Verdana"/>
                <w:sz w:val="16"/>
                <w:szCs w:val="16"/>
                <w:lang w:val="lt-LT"/>
              </w:rPr>
              <w:t xml:space="preserve"> </w:t>
            </w:r>
            <w:r w:rsidR="00FE040E" w:rsidRPr="008048D3">
              <w:rPr>
                <w:rFonts w:ascii="Verdana" w:hAnsi="Verdana"/>
                <w:sz w:val="16"/>
                <w:szCs w:val="16"/>
                <w:lang w:val="lt-LT"/>
              </w:rPr>
              <w:t>(Baltic Champs Group</w:t>
            </w:r>
            <w:r w:rsidRPr="008048D3">
              <w:rPr>
                <w:rFonts w:ascii="Verdana" w:hAnsi="Verdana"/>
                <w:sz w:val="16"/>
                <w:szCs w:val="16"/>
                <w:lang w:val="lt-LT"/>
              </w:rPr>
              <w:t>,</w:t>
            </w:r>
            <w:r w:rsidR="00FE040E" w:rsidRPr="008048D3">
              <w:rPr>
                <w:rFonts w:ascii="Verdana" w:hAnsi="Verdana"/>
                <w:sz w:val="16"/>
                <w:szCs w:val="16"/>
                <w:lang w:val="lt-LT"/>
              </w:rPr>
              <w:t xml:space="preserve"> UAB</w:t>
            </w:r>
            <w:r w:rsidRPr="008048D3">
              <w:rPr>
                <w:rFonts w:ascii="Verdana" w:hAnsi="Verdana"/>
                <w:sz w:val="16"/>
                <w:szCs w:val="16"/>
                <w:lang w:val="lt-LT"/>
              </w:rPr>
              <w:t>, pagal Lietuvos Respublikos įstatymus įsteigta ir veikianti uždaroji akcinė bendrovė</w:t>
            </w:r>
            <w:r w:rsidR="00FE040E" w:rsidRPr="008048D3">
              <w:rPr>
                <w:rFonts w:ascii="Verdana" w:hAnsi="Verdana"/>
                <w:sz w:val="16"/>
                <w:szCs w:val="16"/>
                <w:lang w:val="lt-LT"/>
              </w:rPr>
              <w:t xml:space="preserve">, </w:t>
            </w:r>
            <w:r w:rsidRPr="008048D3">
              <w:rPr>
                <w:rFonts w:ascii="Verdana" w:hAnsi="Verdana"/>
                <w:sz w:val="16"/>
                <w:szCs w:val="16"/>
                <w:lang w:val="lt-LT"/>
              </w:rPr>
              <w:t xml:space="preserve">juridinio asmens kodas </w:t>
            </w:r>
            <w:r w:rsidR="00FE040E" w:rsidRPr="008048D3">
              <w:rPr>
                <w:rFonts w:ascii="Verdana" w:hAnsi="Verdana"/>
                <w:sz w:val="16"/>
                <w:szCs w:val="16"/>
                <w:lang w:val="lt-LT"/>
              </w:rPr>
              <w:t xml:space="preserve">145798333, </w:t>
            </w:r>
            <w:r w:rsidRPr="008048D3">
              <w:rPr>
                <w:rFonts w:ascii="Verdana" w:hAnsi="Verdana"/>
                <w:sz w:val="16"/>
                <w:szCs w:val="16"/>
                <w:lang w:val="lt-LT"/>
              </w:rPr>
              <w:t xml:space="preserve">buveinė registruota adresu </w:t>
            </w:r>
            <w:r w:rsidR="00FE040E" w:rsidRPr="008048D3">
              <w:rPr>
                <w:rFonts w:ascii="Verdana" w:hAnsi="Verdana"/>
                <w:sz w:val="16"/>
                <w:szCs w:val="16"/>
                <w:lang w:val="lt-LT"/>
              </w:rPr>
              <w:t>Šiaulių r. sav. Poviliškių k., Li</w:t>
            </w:r>
            <w:r w:rsidRPr="008048D3">
              <w:rPr>
                <w:rFonts w:ascii="Verdana" w:hAnsi="Verdana"/>
                <w:sz w:val="16"/>
                <w:szCs w:val="16"/>
                <w:lang w:val="lt-LT"/>
              </w:rPr>
              <w:t>e</w:t>
            </w:r>
            <w:r w:rsidR="00FE040E" w:rsidRPr="008048D3">
              <w:rPr>
                <w:rFonts w:ascii="Verdana" w:hAnsi="Verdana"/>
                <w:sz w:val="16"/>
                <w:szCs w:val="16"/>
                <w:lang w:val="lt-LT"/>
              </w:rPr>
              <w:t>tu</w:t>
            </w:r>
            <w:r w:rsidRPr="008048D3">
              <w:rPr>
                <w:rFonts w:ascii="Verdana" w:hAnsi="Verdana"/>
                <w:sz w:val="16"/>
                <w:szCs w:val="16"/>
                <w:lang w:val="lt-LT"/>
              </w:rPr>
              <w:t>v</w:t>
            </w:r>
            <w:r w:rsidR="00FE040E" w:rsidRPr="008048D3">
              <w:rPr>
                <w:rFonts w:ascii="Verdana" w:hAnsi="Verdana"/>
                <w:sz w:val="16"/>
                <w:szCs w:val="16"/>
                <w:lang w:val="lt-LT"/>
              </w:rPr>
              <w:t xml:space="preserve">a, </w:t>
            </w:r>
            <w:r w:rsidRPr="008048D3">
              <w:rPr>
                <w:rFonts w:ascii="Verdana" w:hAnsi="Verdana"/>
                <w:sz w:val="16"/>
                <w:szCs w:val="16"/>
                <w:lang w:val="lt-LT"/>
              </w:rPr>
              <w:t>bendrovės duomenys renkami ir saugomi Juridinių asmenų registre</w:t>
            </w:r>
            <w:r w:rsidR="00FE040E" w:rsidRPr="008048D3">
              <w:rPr>
                <w:rFonts w:ascii="Verdana" w:hAnsi="Verdana"/>
                <w:sz w:val="16"/>
                <w:szCs w:val="16"/>
                <w:lang w:val="lt-LT"/>
              </w:rPr>
              <w:t xml:space="preserve">) </w:t>
            </w:r>
            <w:r w:rsidRPr="008048D3">
              <w:rPr>
                <w:rFonts w:ascii="Verdana" w:hAnsi="Verdana"/>
                <w:sz w:val="16"/>
                <w:szCs w:val="16"/>
                <w:lang w:val="lt-LT"/>
              </w:rPr>
              <w:t xml:space="preserve">siūlo iki </w:t>
            </w:r>
            <w:r w:rsidR="00D02FEC" w:rsidRPr="008048D3">
              <w:rPr>
                <w:rFonts w:ascii="Verdana" w:hAnsi="Verdana"/>
                <w:sz w:val="16"/>
                <w:szCs w:val="16"/>
                <w:lang w:val="lt-LT"/>
              </w:rPr>
              <w:t>20</w:t>
            </w:r>
            <w:r w:rsidRPr="008048D3">
              <w:rPr>
                <w:rFonts w:ascii="Verdana" w:hAnsi="Verdana"/>
                <w:sz w:val="16"/>
                <w:szCs w:val="16"/>
                <w:lang w:val="lt-LT"/>
              </w:rPr>
              <w:t> </w:t>
            </w:r>
            <w:r w:rsidR="00D02FEC" w:rsidRPr="008048D3">
              <w:rPr>
                <w:rFonts w:ascii="Verdana" w:hAnsi="Verdana"/>
                <w:sz w:val="16"/>
                <w:szCs w:val="16"/>
                <w:lang w:val="lt-LT"/>
              </w:rPr>
              <w:t>000</w:t>
            </w:r>
            <w:r w:rsidRPr="008048D3">
              <w:rPr>
                <w:rFonts w:ascii="Verdana" w:hAnsi="Verdana"/>
                <w:sz w:val="16"/>
                <w:szCs w:val="16"/>
                <w:lang w:val="lt-LT"/>
              </w:rPr>
              <w:t> </w:t>
            </w:r>
            <w:r w:rsidR="00D02FEC" w:rsidRPr="008048D3">
              <w:rPr>
                <w:rFonts w:ascii="Verdana" w:hAnsi="Verdana"/>
                <w:sz w:val="16"/>
                <w:szCs w:val="16"/>
                <w:lang w:val="lt-LT"/>
              </w:rPr>
              <w:t xml:space="preserve">000 </w:t>
            </w:r>
            <w:r w:rsidRPr="008048D3">
              <w:rPr>
                <w:rFonts w:ascii="Verdana" w:hAnsi="Verdana"/>
                <w:sz w:val="16"/>
                <w:szCs w:val="16"/>
                <w:lang w:val="lt-LT"/>
              </w:rPr>
              <w:t>Parduodamų akcijų</w:t>
            </w:r>
            <w:r w:rsidR="00D02FEC" w:rsidRPr="008048D3">
              <w:rPr>
                <w:rFonts w:ascii="Verdana" w:hAnsi="Verdana"/>
                <w:sz w:val="16"/>
                <w:szCs w:val="16"/>
                <w:lang w:val="lt-LT"/>
              </w:rPr>
              <w:t xml:space="preserve">. </w:t>
            </w:r>
            <w:r w:rsidRPr="008048D3">
              <w:rPr>
                <w:rFonts w:ascii="Verdana" w:hAnsi="Verdana"/>
                <w:sz w:val="16"/>
                <w:szCs w:val="16"/>
                <w:lang w:val="lt-LT"/>
              </w:rPr>
              <w:t xml:space="preserve">Iš viso Siūlymo metu siūloma iki </w:t>
            </w:r>
            <w:r w:rsidR="00B72BE5" w:rsidRPr="008048D3">
              <w:rPr>
                <w:rFonts w:ascii="Verdana" w:hAnsi="Verdana"/>
                <w:sz w:val="16"/>
                <w:szCs w:val="16"/>
                <w:lang w:val="lt-LT"/>
              </w:rPr>
              <w:t>6</w:t>
            </w:r>
            <w:r w:rsidR="00D02FEC" w:rsidRPr="008048D3">
              <w:rPr>
                <w:rFonts w:ascii="Verdana" w:hAnsi="Verdana"/>
                <w:sz w:val="16"/>
                <w:szCs w:val="16"/>
                <w:lang w:val="lt-LT"/>
              </w:rPr>
              <w:t>0</w:t>
            </w:r>
            <w:r w:rsidRPr="008048D3">
              <w:rPr>
                <w:rFonts w:ascii="Verdana" w:hAnsi="Verdana"/>
                <w:sz w:val="16"/>
                <w:szCs w:val="16"/>
                <w:lang w:val="lt-LT"/>
              </w:rPr>
              <w:t> </w:t>
            </w:r>
            <w:r w:rsidR="00D02FEC" w:rsidRPr="008048D3">
              <w:rPr>
                <w:rFonts w:ascii="Verdana" w:hAnsi="Verdana"/>
                <w:sz w:val="16"/>
                <w:szCs w:val="16"/>
                <w:lang w:val="lt-LT"/>
              </w:rPr>
              <w:t>000</w:t>
            </w:r>
            <w:r w:rsidRPr="008048D3">
              <w:rPr>
                <w:rFonts w:ascii="Verdana" w:hAnsi="Verdana"/>
                <w:sz w:val="16"/>
                <w:szCs w:val="16"/>
                <w:lang w:val="lt-LT"/>
              </w:rPr>
              <w:t xml:space="preserve"> </w:t>
            </w:r>
            <w:r w:rsidR="00D02FEC" w:rsidRPr="008048D3">
              <w:rPr>
                <w:rFonts w:ascii="Verdana" w:hAnsi="Verdana"/>
                <w:sz w:val="16"/>
                <w:szCs w:val="16"/>
                <w:lang w:val="lt-LT"/>
              </w:rPr>
              <w:t xml:space="preserve">000 </w:t>
            </w:r>
            <w:r w:rsidRPr="008048D3">
              <w:rPr>
                <w:rFonts w:ascii="Verdana" w:hAnsi="Verdana"/>
                <w:sz w:val="16"/>
                <w:szCs w:val="16"/>
                <w:lang w:val="lt-LT"/>
              </w:rPr>
              <w:t>Siūlomų akcijų</w:t>
            </w:r>
            <w:r w:rsidR="00D02FEC" w:rsidRPr="008048D3">
              <w:rPr>
                <w:rFonts w:ascii="Verdana" w:hAnsi="Verdana"/>
                <w:sz w:val="16"/>
                <w:szCs w:val="16"/>
                <w:lang w:val="lt-LT"/>
              </w:rPr>
              <w:t xml:space="preserve">. </w:t>
            </w:r>
            <w:r w:rsidRPr="008048D3">
              <w:rPr>
                <w:rFonts w:ascii="Verdana" w:hAnsi="Verdana"/>
                <w:sz w:val="16"/>
                <w:szCs w:val="16"/>
                <w:lang w:val="lt-LT"/>
              </w:rPr>
              <w:t xml:space="preserve">Bendrovę ir </w:t>
            </w:r>
            <w:r w:rsidR="00180364" w:rsidRPr="008048D3">
              <w:rPr>
                <w:rFonts w:ascii="Verdana" w:hAnsi="Verdana"/>
                <w:sz w:val="16"/>
                <w:szCs w:val="16"/>
                <w:lang w:val="lt-LT"/>
              </w:rPr>
              <w:t>Parduodant</w:t>
            </w:r>
            <w:r w:rsidRPr="008048D3">
              <w:rPr>
                <w:rFonts w:ascii="Verdana" w:hAnsi="Verdana"/>
                <w:sz w:val="16"/>
                <w:szCs w:val="16"/>
                <w:lang w:val="lt-LT"/>
              </w:rPr>
              <w:t>į</w:t>
            </w:r>
            <w:r w:rsidR="00180364" w:rsidRPr="008048D3">
              <w:rPr>
                <w:rFonts w:ascii="Verdana" w:hAnsi="Verdana"/>
                <w:sz w:val="16"/>
                <w:szCs w:val="16"/>
                <w:lang w:val="lt-LT"/>
              </w:rPr>
              <w:t xml:space="preserve"> akcinink</w:t>
            </w:r>
            <w:r w:rsidRPr="008048D3">
              <w:rPr>
                <w:rFonts w:ascii="Verdana" w:hAnsi="Verdana"/>
                <w:sz w:val="16"/>
                <w:szCs w:val="16"/>
                <w:lang w:val="lt-LT"/>
              </w:rPr>
              <w:t>ą</w:t>
            </w:r>
            <w:r w:rsidR="00D02FEC" w:rsidRPr="008048D3">
              <w:rPr>
                <w:rFonts w:ascii="Verdana" w:hAnsi="Verdana"/>
                <w:sz w:val="16"/>
                <w:szCs w:val="16"/>
                <w:lang w:val="lt-LT"/>
              </w:rPr>
              <w:t xml:space="preserve"> </w:t>
            </w:r>
            <w:r w:rsidRPr="008048D3">
              <w:rPr>
                <w:rFonts w:ascii="Verdana" w:hAnsi="Verdana"/>
                <w:sz w:val="16"/>
                <w:szCs w:val="16"/>
                <w:lang w:val="lt-LT"/>
              </w:rPr>
              <w:t xml:space="preserve">konsultuoja </w:t>
            </w:r>
            <w:r w:rsidR="004E28BD" w:rsidRPr="008048D3">
              <w:rPr>
                <w:rFonts w:ascii="Verdana" w:hAnsi="Verdana"/>
                <w:sz w:val="16"/>
                <w:szCs w:val="16"/>
                <w:lang w:val="lt-LT"/>
              </w:rPr>
              <w:t>Pasaulini</w:t>
            </w:r>
            <w:r w:rsidRPr="008048D3">
              <w:rPr>
                <w:rFonts w:ascii="Verdana" w:hAnsi="Verdana"/>
                <w:sz w:val="16"/>
                <w:szCs w:val="16"/>
                <w:lang w:val="lt-LT"/>
              </w:rPr>
              <w:t>s</w:t>
            </w:r>
            <w:r w:rsidR="004E28BD" w:rsidRPr="008048D3">
              <w:rPr>
                <w:rFonts w:ascii="Verdana" w:hAnsi="Verdana"/>
                <w:sz w:val="16"/>
                <w:szCs w:val="16"/>
                <w:lang w:val="lt-LT"/>
              </w:rPr>
              <w:t xml:space="preserve"> pagrindini</w:t>
            </w:r>
            <w:r w:rsidRPr="008048D3">
              <w:rPr>
                <w:rFonts w:ascii="Verdana" w:hAnsi="Verdana"/>
                <w:sz w:val="16"/>
                <w:szCs w:val="16"/>
                <w:lang w:val="lt-LT"/>
              </w:rPr>
              <w:t>s</w:t>
            </w:r>
            <w:r w:rsidR="004E28BD" w:rsidRPr="008048D3">
              <w:rPr>
                <w:rFonts w:ascii="Verdana" w:hAnsi="Verdana"/>
                <w:sz w:val="16"/>
                <w:szCs w:val="16"/>
                <w:lang w:val="lt-LT"/>
              </w:rPr>
              <w:t xml:space="preserve"> platintoj</w:t>
            </w:r>
            <w:r w:rsidRPr="008048D3">
              <w:rPr>
                <w:rFonts w:ascii="Verdana" w:hAnsi="Verdana"/>
                <w:sz w:val="16"/>
                <w:szCs w:val="16"/>
                <w:lang w:val="lt-LT"/>
              </w:rPr>
              <w:t>as</w:t>
            </w:r>
            <w:r w:rsidR="00D02FEC" w:rsidRPr="008048D3">
              <w:rPr>
                <w:rFonts w:ascii="Verdana" w:hAnsi="Verdana"/>
                <w:sz w:val="16"/>
                <w:szCs w:val="16"/>
                <w:lang w:val="lt-LT"/>
              </w:rPr>
              <w:t>.</w:t>
            </w:r>
          </w:p>
          <w:p w14:paraId="4A96A622" w14:textId="77777777" w:rsidR="00D02FEC" w:rsidRPr="008048D3" w:rsidRDefault="00D02FEC" w:rsidP="00D02FEC">
            <w:pPr>
              <w:jc w:val="both"/>
              <w:rPr>
                <w:rFonts w:ascii="Verdana" w:hAnsi="Verdana" w:cs="Arial"/>
                <w:sz w:val="16"/>
                <w:szCs w:val="16"/>
                <w:lang w:val="lt-LT" w:eastAsia="lt-LT"/>
              </w:rPr>
            </w:pPr>
          </w:p>
          <w:p w14:paraId="125FF41F" w14:textId="50D07FC3" w:rsidR="00B72BE5" w:rsidRPr="008048D3" w:rsidRDefault="00D02FEC" w:rsidP="00D02FEC">
            <w:pPr>
              <w:jc w:val="both"/>
              <w:rPr>
                <w:rFonts w:ascii="Verdana" w:hAnsi="Verdana" w:cs="Arial"/>
                <w:sz w:val="16"/>
                <w:szCs w:val="16"/>
                <w:lang w:val="lt-LT"/>
              </w:rPr>
            </w:pPr>
            <w:r w:rsidRPr="008048D3">
              <w:rPr>
                <w:rFonts w:ascii="Verdana" w:hAnsi="Verdana" w:cs="Arial"/>
                <w:sz w:val="16"/>
                <w:szCs w:val="16"/>
                <w:lang w:val="lt-LT"/>
              </w:rPr>
              <w:t>Pri</w:t>
            </w:r>
            <w:r w:rsidR="001D0D73" w:rsidRPr="008048D3">
              <w:rPr>
                <w:rFonts w:ascii="Verdana" w:hAnsi="Verdana" w:cs="Arial"/>
                <w:sz w:val="16"/>
                <w:szCs w:val="16"/>
                <w:lang w:val="lt-LT"/>
              </w:rPr>
              <w:t xml:space="preserve">eš pradedant prekybą </w:t>
            </w:r>
            <w:r w:rsidRPr="008048D3">
              <w:rPr>
                <w:rFonts w:ascii="Verdana" w:hAnsi="Verdana" w:cs="Arial"/>
                <w:sz w:val="16"/>
                <w:szCs w:val="16"/>
                <w:lang w:val="lt-LT"/>
              </w:rPr>
              <w:t>N</w:t>
            </w:r>
            <w:r w:rsidR="001D0D73" w:rsidRPr="008048D3">
              <w:rPr>
                <w:rFonts w:ascii="Verdana" w:hAnsi="Verdana" w:cs="Arial"/>
                <w:sz w:val="16"/>
                <w:szCs w:val="16"/>
                <w:lang w:val="lt-LT"/>
              </w:rPr>
              <w:t>aujomis akcijomis</w:t>
            </w:r>
            <w:r w:rsidRPr="008048D3">
              <w:rPr>
                <w:rFonts w:ascii="Verdana" w:hAnsi="Verdana" w:cs="Arial"/>
                <w:sz w:val="16"/>
                <w:szCs w:val="16"/>
                <w:lang w:val="lt-LT"/>
              </w:rPr>
              <w:t xml:space="preserve">, </w:t>
            </w:r>
            <w:r w:rsidR="001D0D73" w:rsidRPr="008048D3">
              <w:rPr>
                <w:rFonts w:ascii="Verdana" w:hAnsi="Verdana" w:cs="Arial"/>
                <w:sz w:val="16"/>
                <w:szCs w:val="16"/>
                <w:lang w:val="lt-LT"/>
              </w:rPr>
              <w:t>Pasaulinis pagrindinis platintojas</w:t>
            </w:r>
            <w:r w:rsidR="00B72BE5" w:rsidRPr="008048D3">
              <w:rPr>
                <w:rFonts w:ascii="Verdana" w:hAnsi="Verdana" w:cs="Arial"/>
                <w:sz w:val="16"/>
                <w:szCs w:val="16"/>
                <w:lang w:val="lt-LT"/>
              </w:rPr>
              <w:t>,</w:t>
            </w:r>
            <w:r w:rsidR="001D0D73" w:rsidRPr="008048D3">
              <w:rPr>
                <w:rFonts w:ascii="Verdana" w:hAnsi="Verdana" w:cs="Arial"/>
                <w:sz w:val="16"/>
                <w:szCs w:val="16"/>
                <w:lang w:val="lt-LT"/>
              </w:rPr>
              <w:t xml:space="preserve"> </w:t>
            </w:r>
            <w:r w:rsidR="00180364" w:rsidRPr="008048D3">
              <w:rPr>
                <w:rFonts w:ascii="Verdana" w:hAnsi="Verdana" w:cs="Arial"/>
                <w:sz w:val="16"/>
                <w:szCs w:val="16"/>
                <w:lang w:val="lt-LT"/>
              </w:rPr>
              <w:t>Parduodantis akcininkas</w:t>
            </w:r>
            <w:r w:rsidRPr="008048D3">
              <w:rPr>
                <w:rFonts w:ascii="Verdana" w:hAnsi="Verdana" w:cs="Arial"/>
                <w:sz w:val="16"/>
                <w:szCs w:val="16"/>
                <w:lang w:val="lt-LT"/>
              </w:rPr>
              <w:t xml:space="preserve"> (</w:t>
            </w:r>
            <w:r w:rsidR="001D0D73" w:rsidRPr="008048D3">
              <w:rPr>
                <w:rFonts w:ascii="Verdana" w:hAnsi="Verdana" w:cs="Arial"/>
                <w:sz w:val="16"/>
                <w:szCs w:val="16"/>
                <w:lang w:val="lt-LT"/>
              </w:rPr>
              <w:t>t</w:t>
            </w:r>
            <w:r w:rsidRPr="008048D3">
              <w:rPr>
                <w:rFonts w:ascii="Verdana" w:hAnsi="Verdana" w:cs="Arial"/>
                <w:sz w:val="16"/>
                <w:szCs w:val="16"/>
                <w:lang w:val="lt-LT"/>
              </w:rPr>
              <w:t>.</w:t>
            </w:r>
            <w:r w:rsidR="001D0D73" w:rsidRPr="008048D3">
              <w:rPr>
                <w:rFonts w:ascii="Verdana" w:hAnsi="Verdana" w:cs="Arial"/>
                <w:sz w:val="16"/>
                <w:szCs w:val="16"/>
                <w:lang w:val="lt-LT"/>
              </w:rPr>
              <w:t xml:space="preserve"> y</w:t>
            </w:r>
            <w:r w:rsidRPr="008048D3">
              <w:rPr>
                <w:rFonts w:ascii="Verdana" w:hAnsi="Verdana" w:cs="Arial"/>
                <w:sz w:val="16"/>
                <w:szCs w:val="16"/>
                <w:lang w:val="lt-LT"/>
              </w:rPr>
              <w:t>. Baltic Champs Group</w:t>
            </w:r>
            <w:r w:rsidR="001D0D73" w:rsidRPr="008048D3">
              <w:rPr>
                <w:rFonts w:ascii="Verdana" w:hAnsi="Verdana" w:cs="Arial"/>
                <w:sz w:val="16"/>
                <w:szCs w:val="16"/>
                <w:lang w:val="lt-LT"/>
              </w:rPr>
              <w:t>,</w:t>
            </w:r>
            <w:r w:rsidRPr="008048D3">
              <w:rPr>
                <w:rFonts w:ascii="Verdana" w:hAnsi="Verdana" w:cs="Arial"/>
                <w:sz w:val="16"/>
                <w:szCs w:val="16"/>
                <w:lang w:val="lt-LT"/>
              </w:rPr>
              <w:t xml:space="preserve"> UAB</w:t>
            </w:r>
            <w:r w:rsidR="001D0D73" w:rsidRPr="008048D3">
              <w:rPr>
                <w:rFonts w:ascii="Verdana" w:hAnsi="Verdana" w:cs="Arial"/>
                <w:sz w:val="16"/>
                <w:szCs w:val="16"/>
                <w:lang w:val="lt-LT"/>
              </w:rPr>
              <w:t>, kuriai priklauso</w:t>
            </w:r>
            <w:r w:rsidRPr="008048D3">
              <w:rPr>
                <w:rFonts w:ascii="Verdana" w:hAnsi="Verdana" w:cs="Arial"/>
                <w:sz w:val="16"/>
                <w:szCs w:val="16"/>
                <w:lang w:val="lt-LT"/>
              </w:rPr>
              <w:t xml:space="preserve"> 88</w:t>
            </w:r>
            <w:r w:rsidR="001D0D73" w:rsidRPr="008048D3">
              <w:rPr>
                <w:rFonts w:ascii="Verdana" w:hAnsi="Verdana" w:cs="Arial"/>
                <w:sz w:val="16"/>
                <w:szCs w:val="16"/>
                <w:lang w:val="lt-LT"/>
              </w:rPr>
              <w:t>,</w:t>
            </w:r>
            <w:r w:rsidRPr="008048D3">
              <w:rPr>
                <w:rFonts w:ascii="Verdana" w:hAnsi="Verdana" w:cs="Arial"/>
                <w:sz w:val="16"/>
                <w:szCs w:val="16"/>
                <w:lang w:val="lt-LT"/>
              </w:rPr>
              <w:t xml:space="preserve">13% </w:t>
            </w:r>
            <w:r w:rsidR="001D0D73" w:rsidRPr="008048D3">
              <w:rPr>
                <w:rFonts w:ascii="Verdana" w:hAnsi="Verdana" w:cs="Arial"/>
                <w:sz w:val="16"/>
                <w:szCs w:val="16"/>
                <w:lang w:val="lt-LT"/>
              </w:rPr>
              <w:t>visų Akcijų</w:t>
            </w:r>
            <w:r w:rsidRPr="008048D3">
              <w:rPr>
                <w:rFonts w:ascii="Verdana" w:hAnsi="Verdana" w:cs="Arial"/>
                <w:sz w:val="16"/>
                <w:szCs w:val="16"/>
                <w:lang w:val="lt-LT"/>
              </w:rPr>
              <w:t xml:space="preserve">) </w:t>
            </w:r>
            <w:r w:rsidR="00B72BE5" w:rsidRPr="008048D3">
              <w:rPr>
                <w:rFonts w:ascii="Verdana" w:hAnsi="Verdana" w:cs="Arial"/>
                <w:sz w:val="16"/>
                <w:szCs w:val="16"/>
                <w:lang w:val="lt-LT"/>
              </w:rPr>
              <w:t xml:space="preserve">ir p. Kęstutis </w:t>
            </w:r>
            <w:proofErr w:type="spellStart"/>
            <w:r w:rsidR="00B72BE5" w:rsidRPr="008048D3">
              <w:rPr>
                <w:rFonts w:ascii="Verdana" w:hAnsi="Verdana" w:cs="Arial"/>
                <w:sz w:val="16"/>
                <w:szCs w:val="16"/>
                <w:lang w:val="lt-LT"/>
              </w:rPr>
              <w:t>Juščius</w:t>
            </w:r>
            <w:proofErr w:type="spellEnd"/>
            <w:r w:rsidR="00B72BE5" w:rsidRPr="008048D3">
              <w:rPr>
                <w:rFonts w:ascii="Verdana" w:hAnsi="Verdana" w:cs="Arial"/>
                <w:sz w:val="16"/>
                <w:szCs w:val="16"/>
                <w:lang w:val="lt-LT"/>
              </w:rPr>
              <w:t xml:space="preserve"> </w:t>
            </w:r>
            <w:r w:rsidR="001D0D73" w:rsidRPr="008048D3">
              <w:rPr>
                <w:rFonts w:ascii="Verdana" w:hAnsi="Verdana" w:cs="Arial"/>
                <w:sz w:val="16"/>
                <w:szCs w:val="16"/>
                <w:lang w:val="lt-LT"/>
              </w:rPr>
              <w:t xml:space="preserve">sudarys Susitarimą dėl kapitalo įšaldymo, kuriame jie susitars, kad </w:t>
            </w:r>
            <w:r w:rsidR="00180364" w:rsidRPr="008048D3">
              <w:rPr>
                <w:rFonts w:ascii="Verdana" w:hAnsi="Verdana" w:cs="Arial"/>
                <w:sz w:val="16"/>
                <w:szCs w:val="16"/>
                <w:lang w:val="lt-LT"/>
              </w:rPr>
              <w:t>Parduodantis akcininkas</w:t>
            </w:r>
            <w:r w:rsidRPr="008048D3">
              <w:rPr>
                <w:rFonts w:ascii="Verdana" w:hAnsi="Verdana" w:cs="Arial"/>
                <w:sz w:val="16"/>
                <w:szCs w:val="16"/>
                <w:lang w:val="lt-LT"/>
              </w:rPr>
              <w:t xml:space="preserve"> </w:t>
            </w:r>
            <w:r w:rsidR="001D0D73" w:rsidRPr="008048D3">
              <w:rPr>
                <w:rFonts w:ascii="Verdana" w:hAnsi="Verdana" w:cs="Arial"/>
                <w:sz w:val="16"/>
                <w:szCs w:val="16"/>
                <w:lang w:val="lt-LT"/>
              </w:rPr>
              <w:t>nesiūlys</w:t>
            </w:r>
            <w:r w:rsidRPr="008048D3">
              <w:rPr>
                <w:rFonts w:ascii="Verdana" w:hAnsi="Verdana" w:cs="Arial"/>
                <w:sz w:val="16"/>
                <w:szCs w:val="16"/>
                <w:lang w:val="lt-LT"/>
              </w:rPr>
              <w:t xml:space="preserve">, </w:t>
            </w:r>
            <w:r w:rsidR="001D0D73" w:rsidRPr="008048D3">
              <w:rPr>
                <w:rFonts w:ascii="Verdana" w:hAnsi="Verdana" w:cs="Arial"/>
                <w:sz w:val="16"/>
                <w:szCs w:val="16"/>
                <w:lang w:val="lt-LT"/>
              </w:rPr>
              <w:t>neparduos</w:t>
            </w:r>
            <w:r w:rsidRPr="008048D3">
              <w:rPr>
                <w:rFonts w:ascii="Verdana" w:hAnsi="Verdana" w:cs="Arial"/>
                <w:sz w:val="16"/>
                <w:szCs w:val="16"/>
                <w:lang w:val="lt-LT"/>
              </w:rPr>
              <w:t xml:space="preserve">, </w:t>
            </w:r>
            <w:r w:rsidR="001D0D73" w:rsidRPr="008048D3">
              <w:rPr>
                <w:rFonts w:ascii="Verdana" w:hAnsi="Verdana" w:cs="Arial"/>
                <w:sz w:val="16"/>
                <w:szCs w:val="16"/>
                <w:lang w:val="lt-LT"/>
              </w:rPr>
              <w:t xml:space="preserve">nesusitars parduoti arba kitaip nedisponuos jokiomis Akcijomis arba joms lygiavertėmis priemonėmis per pirmuosius </w:t>
            </w:r>
            <w:r w:rsidRPr="008048D3">
              <w:rPr>
                <w:rFonts w:ascii="Verdana" w:hAnsi="Verdana" w:cs="Arial"/>
                <w:sz w:val="16"/>
                <w:szCs w:val="16"/>
                <w:lang w:val="lt-LT"/>
              </w:rPr>
              <w:t>2</w:t>
            </w:r>
            <w:r w:rsidR="00B72BE5" w:rsidRPr="008048D3">
              <w:rPr>
                <w:rFonts w:ascii="Verdana" w:hAnsi="Verdana" w:cs="Arial"/>
                <w:sz w:val="16"/>
                <w:szCs w:val="16"/>
                <w:lang w:val="lt-LT"/>
              </w:rPr>
              <w:t>4</w:t>
            </w:r>
            <w:r w:rsidRPr="008048D3">
              <w:rPr>
                <w:rFonts w:ascii="Verdana" w:hAnsi="Verdana" w:cs="Arial"/>
                <w:sz w:val="16"/>
                <w:szCs w:val="16"/>
                <w:lang w:val="lt-LT"/>
              </w:rPr>
              <w:t xml:space="preserve"> </w:t>
            </w:r>
            <w:r w:rsidR="001D0D73" w:rsidRPr="008048D3">
              <w:rPr>
                <w:rFonts w:ascii="Verdana" w:hAnsi="Verdana" w:cs="Arial"/>
                <w:sz w:val="16"/>
                <w:szCs w:val="16"/>
                <w:lang w:val="lt-LT"/>
              </w:rPr>
              <w:t>k</w:t>
            </w:r>
            <w:r w:rsidRPr="008048D3">
              <w:rPr>
                <w:rFonts w:ascii="Verdana" w:hAnsi="Verdana" w:cs="Arial"/>
                <w:sz w:val="16"/>
                <w:szCs w:val="16"/>
                <w:lang w:val="lt-LT"/>
              </w:rPr>
              <w:t>alend</w:t>
            </w:r>
            <w:r w:rsidR="001D0D73" w:rsidRPr="008048D3">
              <w:rPr>
                <w:rFonts w:ascii="Verdana" w:hAnsi="Verdana" w:cs="Arial"/>
                <w:sz w:val="16"/>
                <w:szCs w:val="16"/>
                <w:lang w:val="lt-LT"/>
              </w:rPr>
              <w:t>o</w:t>
            </w:r>
            <w:r w:rsidRPr="008048D3">
              <w:rPr>
                <w:rFonts w:ascii="Verdana" w:hAnsi="Verdana" w:cs="Arial"/>
                <w:sz w:val="16"/>
                <w:szCs w:val="16"/>
                <w:lang w:val="lt-LT"/>
              </w:rPr>
              <w:t>r</w:t>
            </w:r>
            <w:r w:rsidR="001D0D73" w:rsidRPr="008048D3">
              <w:rPr>
                <w:rFonts w:ascii="Verdana" w:hAnsi="Verdana" w:cs="Arial"/>
                <w:sz w:val="16"/>
                <w:szCs w:val="16"/>
                <w:lang w:val="lt-LT"/>
              </w:rPr>
              <w:t>ini</w:t>
            </w:r>
            <w:r w:rsidR="00B72BE5" w:rsidRPr="008048D3">
              <w:rPr>
                <w:rFonts w:ascii="Verdana" w:hAnsi="Verdana" w:cs="Arial"/>
                <w:sz w:val="16"/>
                <w:szCs w:val="16"/>
                <w:lang w:val="lt-LT"/>
              </w:rPr>
              <w:t>us</w:t>
            </w:r>
            <w:r w:rsidR="001D0D73" w:rsidRPr="008048D3">
              <w:rPr>
                <w:rFonts w:ascii="Verdana" w:hAnsi="Verdana" w:cs="Arial"/>
                <w:sz w:val="16"/>
                <w:szCs w:val="16"/>
                <w:lang w:val="lt-LT"/>
              </w:rPr>
              <w:t xml:space="preserve"> mėnesi</w:t>
            </w:r>
            <w:r w:rsidR="00B72BE5" w:rsidRPr="008048D3">
              <w:rPr>
                <w:rFonts w:ascii="Verdana" w:hAnsi="Verdana" w:cs="Arial"/>
                <w:sz w:val="16"/>
                <w:szCs w:val="16"/>
                <w:lang w:val="lt-LT"/>
              </w:rPr>
              <w:t>us</w:t>
            </w:r>
            <w:r w:rsidR="001D0D73" w:rsidRPr="008048D3">
              <w:rPr>
                <w:rFonts w:ascii="Verdana" w:hAnsi="Verdana" w:cs="Arial"/>
                <w:sz w:val="16"/>
                <w:szCs w:val="16"/>
                <w:lang w:val="lt-LT"/>
              </w:rPr>
              <w:t xml:space="preserve"> nuo Atsiskaitymo už Akcijas</w:t>
            </w:r>
            <w:r w:rsidR="00B72BE5" w:rsidRPr="008048D3">
              <w:rPr>
                <w:rFonts w:ascii="Verdana" w:hAnsi="Verdana" w:cs="Arial"/>
                <w:sz w:val="16"/>
                <w:szCs w:val="16"/>
                <w:lang w:val="lt-LT"/>
              </w:rPr>
              <w:t xml:space="preserve"> dienos</w:t>
            </w:r>
            <w:r w:rsidRPr="008048D3">
              <w:rPr>
                <w:rFonts w:ascii="Verdana" w:hAnsi="Verdana" w:cs="Arial"/>
                <w:sz w:val="16"/>
                <w:szCs w:val="16"/>
                <w:lang w:val="lt-LT"/>
              </w:rPr>
              <w:t>,</w:t>
            </w:r>
            <w:r w:rsidR="00B72BE5" w:rsidRPr="008048D3">
              <w:rPr>
                <w:rFonts w:ascii="Verdana" w:hAnsi="Verdana" w:cs="Arial"/>
                <w:sz w:val="16"/>
                <w:szCs w:val="16"/>
                <w:lang w:val="lt-LT"/>
              </w:rPr>
              <w:t xml:space="preserve"> kurios sudaro 51% Emitento įstatinio kapitalo, ir kad Kęstutis </w:t>
            </w:r>
            <w:proofErr w:type="spellStart"/>
            <w:r w:rsidR="00B72BE5" w:rsidRPr="008048D3">
              <w:rPr>
                <w:rFonts w:ascii="Verdana" w:hAnsi="Verdana" w:cs="Arial"/>
                <w:sz w:val="16"/>
                <w:szCs w:val="16"/>
                <w:lang w:val="lt-LT"/>
              </w:rPr>
              <w:t>Juščius</w:t>
            </w:r>
            <w:proofErr w:type="spellEnd"/>
            <w:r w:rsidR="00B72BE5" w:rsidRPr="008048D3">
              <w:rPr>
                <w:rFonts w:ascii="Verdana" w:hAnsi="Verdana" w:cs="Arial"/>
                <w:sz w:val="16"/>
                <w:szCs w:val="16"/>
                <w:lang w:val="lt-LT"/>
              </w:rPr>
              <w:t xml:space="preserve"> įsipareigoja išlaikyti Emitento kontrolę (įskaitant visuomet tiesiogiai arba netiesiogiai nuosavybės teise turėti ne mažiau kaip 51% </w:t>
            </w:r>
            <w:r w:rsidR="00931D61" w:rsidRPr="008048D3">
              <w:rPr>
                <w:rFonts w:ascii="Verdana" w:hAnsi="Verdana" w:cs="Arial"/>
                <w:sz w:val="16"/>
                <w:szCs w:val="16"/>
                <w:lang w:val="lt-LT"/>
              </w:rPr>
              <w:t>išleistų ir esamų Emitento akcijų</w:t>
            </w:r>
            <w:r w:rsidR="00B72BE5" w:rsidRPr="008048D3">
              <w:rPr>
                <w:rFonts w:ascii="Verdana" w:hAnsi="Verdana" w:cs="Arial"/>
                <w:sz w:val="16"/>
                <w:szCs w:val="16"/>
                <w:lang w:val="lt-LT"/>
              </w:rPr>
              <w:t xml:space="preserve">). </w:t>
            </w:r>
            <w:r w:rsidR="00E51029" w:rsidRPr="008048D3">
              <w:rPr>
                <w:rFonts w:ascii="Verdana" w:hAnsi="Verdana" w:cs="Arial"/>
                <w:sz w:val="16"/>
                <w:szCs w:val="16"/>
                <w:lang w:val="lt-LT"/>
              </w:rPr>
              <w:t>Papildomos akcijos</w:t>
            </w:r>
            <w:r w:rsidR="00B72BE5" w:rsidRPr="008048D3">
              <w:rPr>
                <w:rFonts w:ascii="Verdana" w:hAnsi="Verdana" w:cs="Arial"/>
                <w:sz w:val="16"/>
                <w:szCs w:val="16"/>
                <w:lang w:val="lt-LT"/>
              </w:rPr>
              <w:t xml:space="preserve">, </w:t>
            </w:r>
            <w:r w:rsidR="00E51029" w:rsidRPr="008048D3">
              <w:rPr>
                <w:rFonts w:ascii="Verdana" w:hAnsi="Verdana" w:cs="Arial"/>
                <w:sz w:val="16"/>
                <w:szCs w:val="16"/>
                <w:lang w:val="lt-LT"/>
              </w:rPr>
              <w:t xml:space="preserve">kurios sudaro iki </w:t>
            </w:r>
            <w:r w:rsidR="00B72BE5" w:rsidRPr="008048D3">
              <w:rPr>
                <w:rFonts w:ascii="Verdana" w:hAnsi="Verdana" w:cs="Arial"/>
                <w:sz w:val="16"/>
                <w:szCs w:val="16"/>
                <w:lang w:val="lt-LT"/>
              </w:rPr>
              <w:t>20</w:t>
            </w:r>
            <w:r w:rsidR="00AC2A8F" w:rsidRPr="008048D3">
              <w:rPr>
                <w:rFonts w:ascii="Verdana" w:hAnsi="Verdana" w:cs="Arial"/>
                <w:sz w:val="16"/>
                <w:szCs w:val="16"/>
                <w:lang w:val="lt-LT"/>
              </w:rPr>
              <w:t> </w:t>
            </w:r>
            <w:r w:rsidR="00B72BE5" w:rsidRPr="008048D3">
              <w:rPr>
                <w:rFonts w:ascii="Verdana" w:hAnsi="Verdana" w:cs="Arial"/>
                <w:sz w:val="16"/>
                <w:szCs w:val="16"/>
                <w:lang w:val="lt-LT"/>
              </w:rPr>
              <w:t>000</w:t>
            </w:r>
            <w:r w:rsidR="00AC2A8F" w:rsidRPr="008048D3">
              <w:rPr>
                <w:rFonts w:ascii="Verdana" w:hAnsi="Verdana" w:cs="Arial"/>
                <w:sz w:val="16"/>
                <w:szCs w:val="16"/>
                <w:lang w:val="lt-LT"/>
              </w:rPr>
              <w:t> </w:t>
            </w:r>
            <w:r w:rsidR="00B72BE5" w:rsidRPr="008048D3">
              <w:rPr>
                <w:rFonts w:ascii="Verdana" w:hAnsi="Verdana" w:cs="Arial"/>
                <w:sz w:val="16"/>
                <w:szCs w:val="16"/>
                <w:lang w:val="lt-LT"/>
              </w:rPr>
              <w:t xml:space="preserve">000 </w:t>
            </w:r>
            <w:r w:rsidR="00E51029" w:rsidRPr="008048D3">
              <w:rPr>
                <w:rFonts w:ascii="Verdana" w:hAnsi="Verdana" w:cs="Arial"/>
                <w:sz w:val="16"/>
                <w:szCs w:val="16"/>
                <w:lang w:val="lt-LT"/>
              </w:rPr>
              <w:t xml:space="preserve">esamų paprastųjų vardinių Akcijų </w:t>
            </w:r>
            <w:r w:rsidR="00B72BE5" w:rsidRPr="008048D3">
              <w:rPr>
                <w:rFonts w:ascii="Verdana" w:hAnsi="Verdana" w:cs="Arial"/>
                <w:sz w:val="16"/>
                <w:szCs w:val="16"/>
                <w:lang w:val="lt-LT"/>
              </w:rPr>
              <w:t>(</w:t>
            </w:r>
            <w:r w:rsidR="00E51029" w:rsidRPr="008048D3">
              <w:rPr>
                <w:rFonts w:ascii="Verdana" w:hAnsi="Verdana" w:cs="Arial"/>
                <w:sz w:val="16"/>
                <w:szCs w:val="16"/>
                <w:lang w:val="lt-LT"/>
              </w:rPr>
              <w:t>Parduodamos akcijos</w:t>
            </w:r>
            <w:r w:rsidR="00B72BE5" w:rsidRPr="008048D3">
              <w:rPr>
                <w:rFonts w:ascii="Verdana" w:hAnsi="Verdana" w:cs="Arial"/>
                <w:sz w:val="16"/>
                <w:szCs w:val="16"/>
                <w:lang w:val="lt-LT"/>
              </w:rPr>
              <w:t>)</w:t>
            </w:r>
            <w:r w:rsidR="00E51029" w:rsidRPr="008048D3">
              <w:rPr>
                <w:rFonts w:ascii="Verdana" w:hAnsi="Verdana" w:cs="Arial"/>
                <w:sz w:val="16"/>
                <w:szCs w:val="16"/>
                <w:lang w:val="lt-LT"/>
              </w:rPr>
              <w:t>, gali</w:t>
            </w:r>
            <w:r w:rsidR="00B72BE5" w:rsidRPr="008048D3">
              <w:rPr>
                <w:rFonts w:ascii="Verdana" w:hAnsi="Verdana" w:cs="Arial"/>
                <w:sz w:val="16"/>
                <w:szCs w:val="16"/>
                <w:lang w:val="lt-LT"/>
              </w:rPr>
              <w:t xml:space="preserve">, </w:t>
            </w:r>
            <w:r w:rsidR="00E51029" w:rsidRPr="008048D3">
              <w:rPr>
                <w:rFonts w:ascii="Verdana" w:hAnsi="Verdana" w:cs="Arial"/>
                <w:sz w:val="16"/>
                <w:szCs w:val="16"/>
                <w:lang w:val="lt-LT"/>
              </w:rPr>
              <w:t>gavus atitinkamus leidimus iš paskolos davėjų</w:t>
            </w:r>
            <w:r w:rsidR="00B72BE5" w:rsidRPr="008048D3">
              <w:rPr>
                <w:rFonts w:ascii="Verdana" w:hAnsi="Verdana" w:cs="Arial"/>
                <w:sz w:val="16"/>
                <w:szCs w:val="16"/>
                <w:lang w:val="lt-LT"/>
              </w:rPr>
              <w:t xml:space="preserve">, </w:t>
            </w:r>
            <w:r w:rsidR="00E51029" w:rsidRPr="008048D3">
              <w:rPr>
                <w:rFonts w:ascii="Verdana" w:hAnsi="Verdana" w:cs="Arial"/>
                <w:sz w:val="16"/>
                <w:szCs w:val="16"/>
                <w:lang w:val="lt-LT"/>
              </w:rPr>
              <w:t>būti parduodamos Siūlymo metu</w:t>
            </w:r>
            <w:r w:rsidR="00B72BE5" w:rsidRPr="008048D3">
              <w:rPr>
                <w:rFonts w:ascii="Verdana" w:hAnsi="Verdana" w:cs="Arial"/>
                <w:sz w:val="16"/>
                <w:szCs w:val="16"/>
                <w:lang w:val="lt-LT"/>
              </w:rPr>
              <w:t xml:space="preserve">. </w:t>
            </w:r>
            <w:r w:rsidR="00E51029" w:rsidRPr="008048D3">
              <w:rPr>
                <w:rFonts w:ascii="Verdana" w:hAnsi="Verdana" w:cs="Arial"/>
                <w:sz w:val="16"/>
                <w:szCs w:val="16"/>
                <w:lang w:val="lt-LT"/>
              </w:rPr>
              <w:t xml:space="preserve">Parduodamos akcijos, kurios nebus parduotos Siūlymo metu, gali būti vėliau parduodamos rinkoje paketais, vertais ne mažiau kaip </w:t>
            </w:r>
            <w:r w:rsidR="00B72BE5" w:rsidRPr="008048D3">
              <w:rPr>
                <w:rFonts w:ascii="Verdana" w:hAnsi="Verdana" w:cs="Arial"/>
                <w:sz w:val="16"/>
                <w:szCs w:val="16"/>
                <w:lang w:val="lt-LT"/>
              </w:rPr>
              <w:t>1 m</w:t>
            </w:r>
            <w:r w:rsidR="00E51029" w:rsidRPr="008048D3">
              <w:rPr>
                <w:rFonts w:ascii="Verdana" w:hAnsi="Verdana" w:cs="Arial"/>
                <w:sz w:val="16"/>
                <w:szCs w:val="16"/>
                <w:lang w:val="lt-LT"/>
              </w:rPr>
              <w:t xml:space="preserve">ln. EUR už paketą, ilgalaikiams </w:t>
            </w:r>
            <w:r w:rsidR="00B72BE5" w:rsidRPr="008048D3">
              <w:rPr>
                <w:rFonts w:ascii="Verdana" w:hAnsi="Verdana" w:cs="Arial"/>
                <w:sz w:val="16"/>
                <w:szCs w:val="16"/>
                <w:lang w:val="lt-LT"/>
              </w:rPr>
              <w:t>invest</w:t>
            </w:r>
            <w:r w:rsidR="00E51029" w:rsidRPr="008048D3">
              <w:rPr>
                <w:rFonts w:ascii="Verdana" w:hAnsi="Verdana" w:cs="Arial"/>
                <w:sz w:val="16"/>
                <w:szCs w:val="16"/>
                <w:lang w:val="lt-LT"/>
              </w:rPr>
              <w:t>uotojams</w:t>
            </w:r>
            <w:r w:rsidR="00B72BE5" w:rsidRPr="008048D3">
              <w:rPr>
                <w:rFonts w:ascii="Verdana" w:hAnsi="Verdana" w:cs="Arial"/>
                <w:sz w:val="16"/>
                <w:szCs w:val="16"/>
                <w:lang w:val="lt-LT"/>
              </w:rPr>
              <w:t xml:space="preserve">. </w:t>
            </w:r>
          </w:p>
          <w:p w14:paraId="52E13D44" w14:textId="77777777" w:rsidR="00B72BE5" w:rsidRPr="008048D3" w:rsidRDefault="00B72BE5" w:rsidP="00D02FEC">
            <w:pPr>
              <w:jc w:val="both"/>
              <w:rPr>
                <w:rFonts w:ascii="Verdana" w:hAnsi="Verdana" w:cs="Arial"/>
                <w:sz w:val="16"/>
                <w:szCs w:val="16"/>
                <w:lang w:val="lt-LT"/>
              </w:rPr>
            </w:pPr>
          </w:p>
          <w:p w14:paraId="28DF3742" w14:textId="4CDEE935" w:rsidR="00B72BE5" w:rsidRPr="008048D3" w:rsidRDefault="00AA7FCE" w:rsidP="00B72BE5">
            <w:pPr>
              <w:jc w:val="both"/>
              <w:rPr>
                <w:rFonts w:ascii="Verdana" w:hAnsi="Verdana" w:cs="Arial"/>
                <w:sz w:val="16"/>
                <w:szCs w:val="16"/>
                <w:lang w:val="lt-LT"/>
              </w:rPr>
            </w:pPr>
            <w:bookmarkStart w:id="4" w:name="_Hlk517761680"/>
            <w:r w:rsidRPr="008048D3">
              <w:rPr>
                <w:rFonts w:ascii="Verdana" w:hAnsi="Verdana" w:cs="Arial"/>
                <w:sz w:val="16"/>
                <w:szCs w:val="16"/>
                <w:lang w:val="lt-LT"/>
              </w:rPr>
              <w:t>Be to</w:t>
            </w:r>
            <w:r w:rsidR="00B72BE5" w:rsidRPr="008048D3">
              <w:rPr>
                <w:rFonts w:ascii="Verdana" w:hAnsi="Verdana" w:cs="Arial"/>
                <w:sz w:val="16"/>
                <w:szCs w:val="16"/>
                <w:lang w:val="lt-LT"/>
              </w:rPr>
              <w:t xml:space="preserve">, </w:t>
            </w:r>
            <w:r w:rsidRPr="008048D3">
              <w:rPr>
                <w:rFonts w:ascii="Verdana" w:hAnsi="Verdana" w:cs="Arial"/>
                <w:sz w:val="16"/>
                <w:szCs w:val="16"/>
                <w:lang w:val="lt-LT"/>
              </w:rPr>
              <w:t>reikėtų atkreipti dėmesį, kad 2018 m. liepos 16 d. šaukiamas neeilinis visuotinis susirinkimas</w:t>
            </w:r>
            <w:r w:rsidR="00B72BE5" w:rsidRPr="008048D3">
              <w:rPr>
                <w:rFonts w:ascii="Verdana" w:hAnsi="Verdana" w:cs="Arial"/>
                <w:sz w:val="16"/>
                <w:szCs w:val="16"/>
                <w:lang w:val="lt-LT"/>
              </w:rPr>
              <w:t xml:space="preserve">. </w:t>
            </w:r>
            <w:r w:rsidRPr="008048D3">
              <w:rPr>
                <w:rFonts w:ascii="Verdana" w:hAnsi="Verdana"/>
                <w:sz w:val="16"/>
                <w:szCs w:val="16"/>
                <w:lang w:val="lt-LT"/>
              </w:rPr>
              <w:t xml:space="preserve">Šiame neeiliniame visuotiniame susirinkime bus balsuojama dėl sprendimo pakeisti 2018 m. kovo 28 d. Bendrovės neeilinio visuotinio akcininkų susirinkimo 1.4 darbotvarkės klausimu priimtą sprendimą, pakeistą 2018 m. balandžio 30 d. eilinio visuotinio akcininkų susirinkimo sprendimu 6 darbotvarkės klausimu, didinant sprendime nurodytų viešo Naujų akcijų siūlymo metu </w:t>
            </w:r>
            <w:r w:rsidR="00AC2A8F" w:rsidRPr="008048D3">
              <w:rPr>
                <w:rFonts w:ascii="Verdana" w:hAnsi="Verdana"/>
                <w:sz w:val="16"/>
                <w:szCs w:val="16"/>
                <w:lang w:val="lt-LT"/>
              </w:rPr>
              <w:t xml:space="preserve">kartu </w:t>
            </w:r>
            <w:r w:rsidRPr="008048D3">
              <w:rPr>
                <w:rFonts w:ascii="Verdana" w:hAnsi="Verdana"/>
                <w:sz w:val="16"/>
                <w:szCs w:val="16"/>
                <w:lang w:val="lt-LT"/>
              </w:rPr>
              <w:t xml:space="preserve">siūlomų esamų Akcijų, priklausančių Parduodančiam akcininkui (Baltic Champs Group, UAB), skaičių nuo 20 000 000 Akcijų iki 40 000 000 Akcijų, kaip nurodoma sprendimo projekte.  </w:t>
            </w:r>
            <w:r w:rsidR="00B72BE5" w:rsidRPr="008048D3">
              <w:rPr>
                <w:rFonts w:ascii="Verdana" w:hAnsi="Verdana" w:cs="Arial"/>
                <w:sz w:val="16"/>
                <w:szCs w:val="16"/>
                <w:lang w:val="lt-LT"/>
              </w:rPr>
              <w:t xml:space="preserve"> </w:t>
            </w:r>
          </w:p>
          <w:p w14:paraId="54A439A4" w14:textId="3B442604" w:rsidR="00AA7FCE" w:rsidRPr="008048D3" w:rsidRDefault="00AA7FCE" w:rsidP="00B72BE5">
            <w:pPr>
              <w:jc w:val="both"/>
              <w:rPr>
                <w:rFonts w:ascii="Verdana" w:hAnsi="Verdana" w:cs="Arial"/>
                <w:sz w:val="16"/>
                <w:szCs w:val="16"/>
                <w:lang w:val="lt-LT"/>
              </w:rPr>
            </w:pPr>
          </w:p>
          <w:p w14:paraId="29B69042" w14:textId="25E0DC4F" w:rsidR="00D02FEC" w:rsidRPr="008048D3" w:rsidRDefault="00AA7FCE" w:rsidP="00B72BE5">
            <w:pPr>
              <w:jc w:val="both"/>
              <w:rPr>
                <w:rFonts w:ascii="Verdana" w:hAnsi="Verdana" w:cs="Arial"/>
                <w:sz w:val="16"/>
                <w:szCs w:val="16"/>
                <w:lang w:val="lt-LT"/>
              </w:rPr>
            </w:pPr>
            <w:r w:rsidRPr="008048D3">
              <w:rPr>
                <w:rFonts w:ascii="Verdana" w:hAnsi="Verdana" w:cs="Arial"/>
                <w:sz w:val="16"/>
                <w:szCs w:val="16"/>
                <w:lang w:val="lt-LT"/>
              </w:rPr>
              <w:t xml:space="preserve">Jei Parduodamų akcijų skaičius padidėtų dėl šio </w:t>
            </w:r>
            <w:r w:rsidRPr="008048D3">
              <w:rPr>
                <w:rFonts w:ascii="Verdana" w:hAnsi="Verdana"/>
                <w:sz w:val="16"/>
                <w:szCs w:val="16"/>
                <w:lang w:val="lt-LT"/>
              </w:rPr>
              <w:t>neeilinio visuotinio susirinkimo sprendimo</w:t>
            </w:r>
            <w:r w:rsidR="00B72BE5" w:rsidRPr="008048D3">
              <w:rPr>
                <w:rFonts w:ascii="Verdana" w:hAnsi="Verdana" w:cs="Arial"/>
                <w:sz w:val="16"/>
                <w:szCs w:val="16"/>
                <w:lang w:val="lt-LT"/>
              </w:rPr>
              <w:t xml:space="preserve">, </w:t>
            </w:r>
            <w:r w:rsidR="007D333A" w:rsidRPr="008048D3">
              <w:rPr>
                <w:rFonts w:ascii="Verdana" w:hAnsi="Verdana" w:cs="Arial"/>
                <w:sz w:val="16"/>
                <w:szCs w:val="16"/>
                <w:lang w:val="lt-LT"/>
              </w:rPr>
              <w:t xml:space="preserve">naujoji riba bus iki </w:t>
            </w:r>
            <w:r w:rsidR="00B72BE5" w:rsidRPr="008048D3">
              <w:rPr>
                <w:rFonts w:ascii="Verdana" w:hAnsi="Verdana" w:cs="Arial"/>
                <w:sz w:val="16"/>
                <w:szCs w:val="16"/>
                <w:lang w:val="lt-LT"/>
              </w:rPr>
              <w:t>40</w:t>
            </w:r>
            <w:r w:rsidR="007D333A" w:rsidRPr="008048D3">
              <w:rPr>
                <w:rFonts w:ascii="Verdana" w:hAnsi="Verdana" w:cs="Arial"/>
                <w:sz w:val="16"/>
                <w:szCs w:val="16"/>
                <w:lang w:val="lt-LT"/>
              </w:rPr>
              <w:t> </w:t>
            </w:r>
            <w:r w:rsidR="00B72BE5" w:rsidRPr="008048D3">
              <w:rPr>
                <w:rFonts w:ascii="Verdana" w:hAnsi="Verdana" w:cs="Arial"/>
                <w:sz w:val="16"/>
                <w:szCs w:val="16"/>
                <w:lang w:val="lt-LT"/>
              </w:rPr>
              <w:t>000</w:t>
            </w:r>
            <w:r w:rsidR="007D333A" w:rsidRPr="008048D3">
              <w:rPr>
                <w:rFonts w:ascii="Verdana" w:hAnsi="Verdana" w:cs="Arial"/>
                <w:sz w:val="16"/>
                <w:szCs w:val="16"/>
                <w:lang w:val="lt-LT"/>
              </w:rPr>
              <w:t xml:space="preserve"> </w:t>
            </w:r>
            <w:r w:rsidR="00B72BE5" w:rsidRPr="008048D3">
              <w:rPr>
                <w:rFonts w:ascii="Verdana" w:hAnsi="Verdana" w:cs="Arial"/>
                <w:sz w:val="16"/>
                <w:szCs w:val="16"/>
                <w:lang w:val="lt-LT"/>
              </w:rPr>
              <w:t xml:space="preserve">000 </w:t>
            </w:r>
            <w:r w:rsidR="007D333A" w:rsidRPr="008048D3">
              <w:rPr>
                <w:rFonts w:ascii="Verdana" w:hAnsi="Verdana" w:cs="Arial"/>
                <w:sz w:val="16"/>
                <w:szCs w:val="16"/>
                <w:lang w:val="lt-LT"/>
              </w:rPr>
              <w:t>esamų paprastųjų vardinių Akcijų</w:t>
            </w:r>
            <w:r w:rsidR="00B72BE5" w:rsidRPr="008048D3">
              <w:rPr>
                <w:rFonts w:ascii="Verdana" w:hAnsi="Verdana" w:cs="Arial"/>
                <w:sz w:val="16"/>
                <w:szCs w:val="16"/>
                <w:lang w:val="lt-LT"/>
              </w:rPr>
              <w:t xml:space="preserve">, </w:t>
            </w:r>
            <w:r w:rsidR="007D333A" w:rsidRPr="008048D3">
              <w:rPr>
                <w:rFonts w:ascii="Verdana" w:hAnsi="Verdana" w:cs="Arial"/>
                <w:sz w:val="16"/>
                <w:szCs w:val="16"/>
                <w:lang w:val="lt-LT"/>
              </w:rPr>
              <w:t>gavus atitinkamus leidimus i</w:t>
            </w:r>
            <w:r w:rsidR="00C03A70" w:rsidRPr="008048D3">
              <w:rPr>
                <w:rFonts w:ascii="Verdana" w:hAnsi="Verdana" w:cs="Arial"/>
                <w:sz w:val="16"/>
                <w:szCs w:val="16"/>
                <w:lang w:val="lt-LT"/>
              </w:rPr>
              <w:t>š</w:t>
            </w:r>
            <w:r w:rsidR="007D333A" w:rsidRPr="008048D3">
              <w:rPr>
                <w:rFonts w:ascii="Verdana" w:hAnsi="Verdana" w:cs="Arial"/>
                <w:sz w:val="16"/>
                <w:szCs w:val="16"/>
                <w:lang w:val="lt-LT"/>
              </w:rPr>
              <w:t xml:space="preserve"> Parduodančio akcininko paskolos davėjų</w:t>
            </w:r>
            <w:r w:rsidR="00B72BE5" w:rsidRPr="008048D3">
              <w:rPr>
                <w:rFonts w:ascii="Verdana" w:hAnsi="Verdana" w:cs="Arial"/>
                <w:sz w:val="16"/>
                <w:szCs w:val="16"/>
                <w:lang w:val="lt-LT"/>
              </w:rPr>
              <w:t xml:space="preserve">, </w:t>
            </w:r>
            <w:r w:rsidR="007D333A" w:rsidRPr="008048D3">
              <w:rPr>
                <w:rFonts w:ascii="Verdana" w:hAnsi="Verdana" w:cs="Arial"/>
                <w:sz w:val="16"/>
                <w:szCs w:val="16"/>
                <w:lang w:val="lt-LT"/>
              </w:rPr>
              <w:t>kurios bus siūlomos parduoti Siūlymo metu</w:t>
            </w:r>
            <w:r w:rsidR="00B72BE5" w:rsidRPr="008048D3">
              <w:rPr>
                <w:rFonts w:ascii="Verdana" w:hAnsi="Verdana" w:cs="Arial"/>
                <w:sz w:val="16"/>
                <w:szCs w:val="16"/>
                <w:lang w:val="lt-LT"/>
              </w:rPr>
              <w:t>.</w:t>
            </w:r>
            <w:bookmarkEnd w:id="4"/>
            <w:r w:rsidR="006B6531" w:rsidRPr="008048D3">
              <w:rPr>
                <w:rFonts w:ascii="Verdana" w:hAnsi="Verdana" w:cs="Arial"/>
                <w:sz w:val="16"/>
                <w:szCs w:val="16"/>
                <w:lang w:val="lt-LT"/>
              </w:rPr>
              <w:t xml:space="preserve"> </w:t>
            </w:r>
          </w:p>
        </w:tc>
      </w:tr>
      <w:tr w:rsidR="00D02FEC" w:rsidRPr="00CD3453" w14:paraId="33148BB0" w14:textId="77777777" w:rsidTr="00CA53A5">
        <w:tc>
          <w:tcPr>
            <w:tcW w:w="303" w:type="pct"/>
            <w:gridSpan w:val="2"/>
          </w:tcPr>
          <w:p w14:paraId="47E521F9" w14:textId="77777777" w:rsidR="00D02FEC" w:rsidRPr="008048D3" w:rsidRDefault="00D02FEC" w:rsidP="00D02FEC">
            <w:pPr>
              <w:rPr>
                <w:rFonts w:ascii="Verdana" w:hAnsi="Verdana" w:cs="Arial"/>
                <w:sz w:val="16"/>
                <w:szCs w:val="16"/>
                <w:lang w:val="lt-LT"/>
              </w:rPr>
            </w:pPr>
            <w:r w:rsidRPr="008048D3">
              <w:rPr>
                <w:rFonts w:ascii="Verdana" w:hAnsi="Verdana" w:cs="Arial"/>
                <w:sz w:val="16"/>
                <w:szCs w:val="16"/>
                <w:lang w:val="lt-LT"/>
              </w:rPr>
              <w:t>E.6</w:t>
            </w:r>
          </w:p>
        </w:tc>
        <w:tc>
          <w:tcPr>
            <w:tcW w:w="606" w:type="pct"/>
          </w:tcPr>
          <w:p w14:paraId="3C552892" w14:textId="509FC712" w:rsidR="00D02FEC" w:rsidRPr="008048D3" w:rsidRDefault="00647D75" w:rsidP="00D02FEC">
            <w:pPr>
              <w:spacing w:after="40"/>
              <w:rPr>
                <w:rFonts w:ascii="Verdana" w:hAnsi="Verdana" w:cs="Arial"/>
                <w:sz w:val="16"/>
                <w:szCs w:val="16"/>
                <w:lang w:val="lt-LT"/>
              </w:rPr>
            </w:pPr>
            <w:r w:rsidRPr="008048D3">
              <w:rPr>
                <w:rFonts w:ascii="Verdana" w:hAnsi="Verdana" w:cs="Arial"/>
                <w:sz w:val="16"/>
                <w:szCs w:val="16"/>
                <w:lang w:val="lt-LT"/>
              </w:rPr>
              <w:t xml:space="preserve">Tiesioginis sumažėjimas </w:t>
            </w:r>
          </w:p>
        </w:tc>
        <w:tc>
          <w:tcPr>
            <w:tcW w:w="4090" w:type="pct"/>
          </w:tcPr>
          <w:p w14:paraId="2A023E16" w14:textId="005767C7" w:rsidR="00D02FEC" w:rsidRPr="008048D3" w:rsidRDefault="00A56611" w:rsidP="00D02FEC">
            <w:pPr>
              <w:pStyle w:val="ColorfulList-Accent11"/>
              <w:spacing w:after="0" w:line="240" w:lineRule="auto"/>
              <w:ind w:left="0"/>
              <w:contextualSpacing w:val="0"/>
              <w:jc w:val="both"/>
              <w:rPr>
                <w:rFonts w:ascii="Verdana" w:hAnsi="Verdana" w:cs="Arial"/>
                <w:sz w:val="16"/>
                <w:szCs w:val="16"/>
                <w:lang w:val="lt-LT"/>
              </w:rPr>
            </w:pPr>
            <w:r w:rsidRPr="008048D3">
              <w:rPr>
                <w:rFonts w:ascii="Verdana" w:hAnsi="Verdana" w:cs="Arial"/>
                <w:sz w:val="16"/>
                <w:szCs w:val="16"/>
                <w:lang w:val="lt-LT"/>
              </w:rPr>
              <w:t xml:space="preserve">Naujų akcijų emisija sudaro apie </w:t>
            </w:r>
            <w:r w:rsidR="00527DC9" w:rsidRPr="008048D3">
              <w:rPr>
                <w:rFonts w:ascii="Verdana" w:hAnsi="Verdana" w:cs="Arial"/>
                <w:sz w:val="16"/>
                <w:szCs w:val="16"/>
                <w:lang w:val="lt-LT"/>
              </w:rPr>
              <w:t>21</w:t>
            </w:r>
            <w:r w:rsidRPr="008048D3">
              <w:rPr>
                <w:rFonts w:ascii="Verdana" w:hAnsi="Verdana" w:cs="Arial"/>
                <w:sz w:val="16"/>
                <w:szCs w:val="16"/>
                <w:lang w:val="lt-LT"/>
              </w:rPr>
              <w:t>,</w:t>
            </w:r>
            <w:r w:rsidR="00527DC9" w:rsidRPr="008048D3">
              <w:rPr>
                <w:rFonts w:ascii="Verdana" w:hAnsi="Verdana" w:cs="Arial"/>
                <w:sz w:val="16"/>
                <w:szCs w:val="16"/>
                <w:lang w:val="lt-LT"/>
              </w:rPr>
              <w:t>34</w:t>
            </w:r>
            <w:r w:rsidR="00D02FEC" w:rsidRPr="008048D3">
              <w:rPr>
                <w:rFonts w:ascii="Verdana" w:hAnsi="Verdana" w:cs="Arial"/>
                <w:sz w:val="16"/>
                <w:szCs w:val="16"/>
                <w:lang w:val="lt-LT"/>
              </w:rPr>
              <w:t xml:space="preserve">% </w:t>
            </w:r>
            <w:r w:rsidRPr="008048D3">
              <w:rPr>
                <w:rFonts w:ascii="Verdana" w:hAnsi="Verdana" w:cs="Arial"/>
                <w:sz w:val="16"/>
                <w:szCs w:val="16"/>
                <w:lang w:val="lt-LT"/>
              </w:rPr>
              <w:t>Bendrovės įstatinio kapitalo prieš jo padidinimą</w:t>
            </w:r>
            <w:r w:rsidR="00D02FEC" w:rsidRPr="008048D3">
              <w:rPr>
                <w:rFonts w:ascii="Verdana" w:hAnsi="Verdana" w:cs="Arial"/>
                <w:sz w:val="16"/>
                <w:szCs w:val="16"/>
                <w:lang w:val="lt-LT"/>
              </w:rPr>
              <w:t xml:space="preserve">. </w:t>
            </w:r>
            <w:r w:rsidRPr="008048D3">
              <w:rPr>
                <w:rFonts w:ascii="Verdana" w:hAnsi="Verdana" w:cs="Arial"/>
                <w:sz w:val="16"/>
                <w:szCs w:val="16"/>
                <w:lang w:val="lt-LT"/>
              </w:rPr>
              <w:t xml:space="preserve">Jei visos Siūlomos akcijos </w:t>
            </w:r>
            <w:r w:rsidR="009F32BE" w:rsidRPr="008048D3">
              <w:rPr>
                <w:rFonts w:ascii="Verdana" w:hAnsi="Verdana" w:cs="Arial"/>
                <w:sz w:val="16"/>
                <w:szCs w:val="16"/>
                <w:lang w:val="lt-LT"/>
              </w:rPr>
              <w:t xml:space="preserve">bus </w:t>
            </w:r>
            <w:r w:rsidRPr="008048D3">
              <w:rPr>
                <w:rFonts w:ascii="Verdana" w:hAnsi="Verdana" w:cs="Arial"/>
                <w:sz w:val="16"/>
                <w:szCs w:val="16"/>
                <w:lang w:val="lt-LT"/>
              </w:rPr>
              <w:t>paskirst</w:t>
            </w:r>
            <w:r w:rsidR="009F32BE" w:rsidRPr="008048D3">
              <w:rPr>
                <w:rFonts w:ascii="Verdana" w:hAnsi="Verdana" w:cs="Arial"/>
                <w:sz w:val="16"/>
                <w:szCs w:val="16"/>
                <w:lang w:val="lt-LT"/>
              </w:rPr>
              <w:t xml:space="preserve">ytos </w:t>
            </w:r>
            <w:r w:rsidR="00D02FEC" w:rsidRPr="008048D3">
              <w:rPr>
                <w:rFonts w:ascii="Verdana" w:hAnsi="Verdana" w:cs="Arial"/>
                <w:sz w:val="16"/>
                <w:szCs w:val="16"/>
                <w:lang w:val="lt-LT"/>
              </w:rPr>
              <w:t>Invest</w:t>
            </w:r>
            <w:r w:rsidRPr="008048D3">
              <w:rPr>
                <w:rFonts w:ascii="Verdana" w:hAnsi="Verdana" w:cs="Arial"/>
                <w:sz w:val="16"/>
                <w:szCs w:val="16"/>
                <w:lang w:val="lt-LT"/>
              </w:rPr>
              <w:t xml:space="preserve">uotojams ir nė vienas iš esamų akcininkų nedalyvaus </w:t>
            </w:r>
            <w:r w:rsidR="009F32BE" w:rsidRPr="008048D3">
              <w:rPr>
                <w:rFonts w:ascii="Verdana" w:hAnsi="Verdana" w:cs="Arial"/>
                <w:sz w:val="16"/>
                <w:szCs w:val="16"/>
                <w:lang w:val="lt-LT"/>
              </w:rPr>
              <w:t xml:space="preserve">Siūlyme </w:t>
            </w:r>
            <w:r w:rsidRPr="008048D3">
              <w:rPr>
                <w:rFonts w:ascii="Verdana" w:hAnsi="Verdana" w:cs="Arial"/>
                <w:sz w:val="16"/>
                <w:szCs w:val="16"/>
                <w:lang w:val="lt-LT"/>
              </w:rPr>
              <w:t>ir neįsigis Siūlomų akcijų</w:t>
            </w:r>
            <w:r w:rsidR="00D02FEC" w:rsidRPr="008048D3">
              <w:rPr>
                <w:rFonts w:ascii="Verdana" w:hAnsi="Verdana" w:cs="Arial"/>
                <w:sz w:val="16"/>
                <w:szCs w:val="16"/>
                <w:lang w:val="lt-LT"/>
              </w:rPr>
              <w:t xml:space="preserve">, </w:t>
            </w:r>
            <w:r w:rsidRPr="008048D3">
              <w:rPr>
                <w:rFonts w:ascii="Verdana" w:hAnsi="Verdana" w:cs="Arial"/>
                <w:sz w:val="16"/>
                <w:szCs w:val="16"/>
                <w:lang w:val="lt-LT"/>
              </w:rPr>
              <w:t xml:space="preserve">esamų akcininkų turimi akcijų paketai sumažėtų, lyginant su Akcijomis, kurias jie turėjo </w:t>
            </w:r>
            <w:r w:rsidR="00D02FEC" w:rsidRPr="008048D3">
              <w:rPr>
                <w:rFonts w:ascii="Verdana" w:hAnsi="Verdana" w:cs="Arial"/>
                <w:sz w:val="16"/>
                <w:szCs w:val="16"/>
                <w:lang w:val="lt-LT"/>
              </w:rPr>
              <w:t>pri</w:t>
            </w:r>
            <w:r w:rsidR="00827DBE" w:rsidRPr="008048D3">
              <w:rPr>
                <w:rFonts w:ascii="Verdana" w:hAnsi="Verdana" w:cs="Arial"/>
                <w:sz w:val="16"/>
                <w:szCs w:val="16"/>
                <w:lang w:val="lt-LT"/>
              </w:rPr>
              <w:t>eš</w:t>
            </w:r>
            <w:r w:rsidR="00D02FEC" w:rsidRPr="008048D3">
              <w:rPr>
                <w:rFonts w:ascii="Verdana" w:hAnsi="Verdana" w:cs="Arial"/>
                <w:sz w:val="16"/>
                <w:szCs w:val="16"/>
                <w:lang w:val="lt-LT"/>
              </w:rPr>
              <w:t xml:space="preserve"> </w:t>
            </w:r>
            <w:r w:rsidR="00827DBE" w:rsidRPr="008048D3">
              <w:rPr>
                <w:rFonts w:ascii="Verdana" w:hAnsi="Verdana" w:cs="Arial"/>
                <w:sz w:val="16"/>
                <w:szCs w:val="16"/>
                <w:lang w:val="lt-LT"/>
              </w:rPr>
              <w:t>padidinant Bendrovės įstatinį kapitalą</w:t>
            </w:r>
            <w:r w:rsidR="00D02FEC" w:rsidRPr="008048D3">
              <w:rPr>
                <w:rFonts w:ascii="Verdana" w:hAnsi="Verdana" w:cs="Arial"/>
                <w:sz w:val="16"/>
                <w:szCs w:val="16"/>
                <w:lang w:val="lt-LT"/>
              </w:rPr>
              <w:t xml:space="preserve">. </w:t>
            </w:r>
            <w:r w:rsidR="00827DBE" w:rsidRPr="008048D3">
              <w:rPr>
                <w:rFonts w:ascii="Verdana" w:hAnsi="Verdana" w:cs="Arial"/>
                <w:sz w:val="16"/>
                <w:szCs w:val="16"/>
                <w:lang w:val="lt-LT"/>
              </w:rPr>
              <w:t xml:space="preserve">Nurodytas sumažėjimas siektų apie </w:t>
            </w:r>
            <w:r w:rsidR="00527DC9" w:rsidRPr="008048D3">
              <w:rPr>
                <w:rFonts w:ascii="Verdana" w:hAnsi="Verdana" w:cs="Arial"/>
                <w:sz w:val="16"/>
                <w:szCs w:val="16"/>
                <w:lang w:val="lt-LT"/>
              </w:rPr>
              <w:t>17</w:t>
            </w:r>
            <w:r w:rsidR="00827DBE" w:rsidRPr="008048D3">
              <w:rPr>
                <w:rFonts w:ascii="Verdana" w:hAnsi="Verdana" w:cs="Arial"/>
                <w:sz w:val="16"/>
                <w:szCs w:val="16"/>
                <w:lang w:val="lt-LT"/>
              </w:rPr>
              <w:t>,</w:t>
            </w:r>
            <w:r w:rsidR="00527DC9" w:rsidRPr="008048D3">
              <w:rPr>
                <w:rFonts w:ascii="Verdana" w:hAnsi="Verdana" w:cs="Arial"/>
                <w:sz w:val="16"/>
                <w:szCs w:val="16"/>
                <w:lang w:val="lt-LT"/>
              </w:rPr>
              <w:t>59</w:t>
            </w:r>
            <w:r w:rsidR="00D02FEC" w:rsidRPr="008048D3">
              <w:rPr>
                <w:rFonts w:ascii="Verdana" w:hAnsi="Verdana" w:cs="Arial"/>
                <w:sz w:val="16"/>
                <w:szCs w:val="16"/>
                <w:lang w:val="lt-LT"/>
              </w:rPr>
              <w:t xml:space="preserve">%, </w:t>
            </w:r>
            <w:r w:rsidR="00827DBE" w:rsidRPr="008048D3">
              <w:rPr>
                <w:rFonts w:ascii="Verdana" w:hAnsi="Verdana" w:cs="Arial"/>
                <w:sz w:val="16"/>
                <w:szCs w:val="16"/>
                <w:lang w:val="lt-LT"/>
              </w:rPr>
              <w:t>t</w:t>
            </w:r>
            <w:r w:rsidR="00D02FEC" w:rsidRPr="008048D3">
              <w:rPr>
                <w:rFonts w:ascii="Verdana" w:hAnsi="Verdana" w:cs="Arial"/>
                <w:sz w:val="16"/>
                <w:szCs w:val="16"/>
                <w:lang w:val="lt-LT"/>
              </w:rPr>
              <w:t>.</w:t>
            </w:r>
            <w:r w:rsidR="00827DBE" w:rsidRPr="008048D3">
              <w:rPr>
                <w:rFonts w:ascii="Verdana" w:hAnsi="Verdana" w:cs="Arial"/>
                <w:sz w:val="16"/>
                <w:szCs w:val="16"/>
                <w:lang w:val="lt-LT"/>
              </w:rPr>
              <w:t xml:space="preserve"> y</w:t>
            </w:r>
            <w:r w:rsidR="00D02FEC" w:rsidRPr="008048D3">
              <w:rPr>
                <w:rFonts w:ascii="Verdana" w:hAnsi="Verdana" w:cs="Arial"/>
                <w:sz w:val="16"/>
                <w:szCs w:val="16"/>
                <w:lang w:val="lt-LT"/>
              </w:rPr>
              <w:t xml:space="preserve">. </w:t>
            </w:r>
            <w:r w:rsidR="00827DBE" w:rsidRPr="008048D3">
              <w:rPr>
                <w:rFonts w:ascii="Verdana" w:hAnsi="Verdana" w:cs="Arial"/>
                <w:sz w:val="16"/>
                <w:szCs w:val="16"/>
                <w:lang w:val="lt-LT"/>
              </w:rPr>
              <w:t xml:space="preserve">prieš įstatinio kapitalo padidinimą buvę Emitento akcininkai po emisijos turėtų apie </w:t>
            </w:r>
            <w:r w:rsidR="00527DC9" w:rsidRPr="008048D3">
              <w:rPr>
                <w:rFonts w:ascii="Verdana" w:hAnsi="Verdana" w:cs="Arial"/>
                <w:sz w:val="16"/>
                <w:szCs w:val="16"/>
                <w:lang w:val="lt-LT"/>
              </w:rPr>
              <w:t>82</w:t>
            </w:r>
            <w:r w:rsidR="00827DBE" w:rsidRPr="008048D3">
              <w:rPr>
                <w:rFonts w:ascii="Verdana" w:hAnsi="Verdana" w:cs="Arial"/>
                <w:sz w:val="16"/>
                <w:szCs w:val="16"/>
                <w:lang w:val="lt-LT"/>
              </w:rPr>
              <w:t>,</w:t>
            </w:r>
            <w:r w:rsidR="00527DC9" w:rsidRPr="008048D3">
              <w:rPr>
                <w:rFonts w:ascii="Verdana" w:hAnsi="Verdana" w:cs="Arial"/>
                <w:sz w:val="16"/>
                <w:szCs w:val="16"/>
                <w:lang w:val="lt-LT"/>
              </w:rPr>
              <w:t>41</w:t>
            </w:r>
            <w:r w:rsidR="00D02FEC" w:rsidRPr="008048D3">
              <w:rPr>
                <w:rFonts w:ascii="Verdana" w:hAnsi="Verdana" w:cs="Arial"/>
                <w:sz w:val="16"/>
                <w:szCs w:val="16"/>
                <w:lang w:val="lt-LT"/>
              </w:rPr>
              <w:t xml:space="preserve">% </w:t>
            </w:r>
            <w:r w:rsidR="00827DBE" w:rsidRPr="008048D3">
              <w:rPr>
                <w:rFonts w:ascii="Verdana" w:hAnsi="Verdana" w:cs="Arial"/>
                <w:sz w:val="16"/>
                <w:szCs w:val="16"/>
                <w:lang w:val="lt-LT"/>
              </w:rPr>
              <w:t>Emitento akcijų</w:t>
            </w:r>
            <w:r w:rsidR="00527DC9" w:rsidRPr="008048D3">
              <w:rPr>
                <w:rFonts w:ascii="Verdana" w:hAnsi="Verdana" w:cs="Arial"/>
                <w:sz w:val="16"/>
                <w:szCs w:val="16"/>
                <w:lang w:val="lt-LT"/>
              </w:rPr>
              <w:t xml:space="preserve"> </w:t>
            </w:r>
            <w:r w:rsidR="00527DC9" w:rsidRPr="008048D3">
              <w:rPr>
                <w:rFonts w:ascii="Verdana" w:hAnsi="Verdana"/>
                <w:sz w:val="16"/>
                <w:szCs w:val="16"/>
                <w:lang w:val="lt-LT"/>
              </w:rPr>
              <w:t>(neįskaitant Parduodamų akcijų įtakos).</w:t>
            </w:r>
          </w:p>
        </w:tc>
      </w:tr>
      <w:tr w:rsidR="00D02FEC" w:rsidRPr="00CD3453" w14:paraId="66EE614B" w14:textId="77777777" w:rsidTr="00CA53A5">
        <w:tc>
          <w:tcPr>
            <w:tcW w:w="303" w:type="pct"/>
            <w:gridSpan w:val="2"/>
          </w:tcPr>
          <w:p w14:paraId="363FB388" w14:textId="77777777" w:rsidR="00D02FEC" w:rsidRPr="008048D3" w:rsidRDefault="00D02FEC" w:rsidP="00D02FEC">
            <w:pPr>
              <w:spacing w:after="40"/>
              <w:rPr>
                <w:rFonts w:ascii="Verdana" w:hAnsi="Verdana" w:cs="Arial"/>
                <w:sz w:val="16"/>
                <w:szCs w:val="16"/>
                <w:lang w:val="lt-LT"/>
              </w:rPr>
            </w:pPr>
            <w:r w:rsidRPr="008048D3">
              <w:rPr>
                <w:rFonts w:ascii="Verdana" w:hAnsi="Verdana" w:cs="Arial"/>
                <w:sz w:val="16"/>
                <w:szCs w:val="16"/>
                <w:lang w:val="lt-LT"/>
              </w:rPr>
              <w:t>E.7</w:t>
            </w:r>
          </w:p>
        </w:tc>
        <w:tc>
          <w:tcPr>
            <w:tcW w:w="606" w:type="pct"/>
          </w:tcPr>
          <w:p w14:paraId="44D74505" w14:textId="56F6BAD2" w:rsidR="00D02FEC" w:rsidRPr="008048D3" w:rsidRDefault="00647D75" w:rsidP="00D02FEC">
            <w:pPr>
              <w:spacing w:after="40"/>
              <w:rPr>
                <w:rFonts w:ascii="Verdana" w:hAnsi="Verdana" w:cs="Arial"/>
                <w:sz w:val="16"/>
                <w:szCs w:val="16"/>
                <w:lang w:val="lt-LT"/>
              </w:rPr>
            </w:pPr>
            <w:r w:rsidRPr="008048D3">
              <w:rPr>
                <w:rFonts w:ascii="Verdana" w:hAnsi="Verdana" w:cs="Arial"/>
                <w:sz w:val="16"/>
                <w:szCs w:val="16"/>
                <w:lang w:val="lt-LT"/>
              </w:rPr>
              <w:t xml:space="preserve">Numatomos Bendrovės išlaidos, kurias dengia investuotojas  </w:t>
            </w:r>
          </w:p>
        </w:tc>
        <w:tc>
          <w:tcPr>
            <w:tcW w:w="4090" w:type="pct"/>
          </w:tcPr>
          <w:p w14:paraId="117F97C7" w14:textId="693AFB33" w:rsidR="00D02FEC" w:rsidRPr="008048D3" w:rsidRDefault="00D02FEC" w:rsidP="00D02FEC">
            <w:pPr>
              <w:jc w:val="both"/>
              <w:rPr>
                <w:rFonts w:ascii="Verdana" w:hAnsi="Verdana" w:cs="Arial"/>
                <w:sz w:val="16"/>
                <w:szCs w:val="16"/>
                <w:lang w:val="lt-LT"/>
              </w:rPr>
            </w:pPr>
            <w:r w:rsidRPr="008048D3">
              <w:rPr>
                <w:rFonts w:ascii="Verdana" w:hAnsi="Verdana" w:cs="Arial"/>
                <w:sz w:val="16"/>
                <w:szCs w:val="16"/>
                <w:lang w:val="lt-LT"/>
              </w:rPr>
              <w:t>N</w:t>
            </w:r>
            <w:r w:rsidR="00CE62B8" w:rsidRPr="008048D3">
              <w:rPr>
                <w:rFonts w:ascii="Verdana" w:hAnsi="Verdana" w:cs="Arial"/>
                <w:sz w:val="16"/>
                <w:szCs w:val="16"/>
                <w:lang w:val="lt-LT"/>
              </w:rPr>
              <w:t>etaikoma</w:t>
            </w:r>
            <w:r w:rsidRPr="008048D3">
              <w:rPr>
                <w:rFonts w:ascii="Verdana" w:hAnsi="Verdana" w:cs="Arial"/>
                <w:sz w:val="16"/>
                <w:szCs w:val="16"/>
                <w:lang w:val="lt-LT"/>
              </w:rPr>
              <w:t xml:space="preserve">. </w:t>
            </w:r>
            <w:r w:rsidR="002A3CFE" w:rsidRPr="008048D3">
              <w:rPr>
                <w:rFonts w:ascii="Verdana" w:hAnsi="Verdana" w:cs="Arial"/>
                <w:sz w:val="16"/>
                <w:szCs w:val="16"/>
                <w:lang w:val="lt-LT"/>
              </w:rPr>
              <w:t>Investuotojai neturės padengti jokių su Siūlymu susijusių Emitento arba Pasaulinio pagrindinio platintojo išlaidų. Tačiau Investuotojams teks padengti visas išlaidas ir mokesčius, kuriuos taiko atitinkama Dalyvaujanti institucija, per kurią jie pateikia savo Pasirašymo pavedimus. Tai gali apimti Pasirašymo pavedimo pateikimo, koregavimo arba atšaukimo, taip pat atsiskaitymo vykdant sandorį išlaidas ir mokesčius. Šios išlaidos ir mokesčiai gali skirtis priklausomai nuo konkrečios Dalyvaujančios institucijos nustatytų kainų ir taisyklių</w:t>
            </w:r>
            <w:r w:rsidRPr="008048D3">
              <w:rPr>
                <w:rFonts w:ascii="Verdana" w:hAnsi="Verdana"/>
                <w:sz w:val="16"/>
                <w:szCs w:val="16"/>
                <w:lang w:val="lt-LT"/>
              </w:rPr>
              <w:t>.</w:t>
            </w:r>
          </w:p>
        </w:tc>
      </w:tr>
    </w:tbl>
    <w:p w14:paraId="5635A5DE" w14:textId="77777777" w:rsidR="001C0743" w:rsidRPr="008048D3" w:rsidRDefault="001C0743" w:rsidP="00BA7356">
      <w:pPr>
        <w:tabs>
          <w:tab w:val="left" w:pos="959"/>
        </w:tabs>
        <w:jc w:val="both"/>
        <w:rPr>
          <w:lang w:val="lt-LT"/>
        </w:rPr>
      </w:pPr>
    </w:p>
    <w:sectPr w:rsidR="001C0743" w:rsidRPr="008048D3" w:rsidSect="008756F0">
      <w:headerReference w:type="default" r:id="rId15"/>
      <w:footnotePr>
        <w:numStart w:val="2"/>
      </w:footnotePr>
      <w:type w:val="continuous"/>
      <w:pgSz w:w="11906" w:h="16838"/>
      <w:pgMar w:top="1134" w:right="849" w:bottom="1134" w:left="1701" w:header="567" w:footer="567" w:gutter="0"/>
      <w:pgBorders w:offsetFrom="page">
        <w:top w:val="single" w:sz="4" w:space="24" w:color="auto"/>
        <w:left w:val="single" w:sz="4" w:space="24" w:color="auto"/>
        <w:bottom w:val="single" w:sz="4" w:space="24" w:color="auto"/>
        <w:right w:val="single" w:sz="4" w:space="24" w:color="auto"/>
      </w:pgBorders>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1AE36" w14:textId="77777777" w:rsidR="003F229E" w:rsidRDefault="003F229E" w:rsidP="001C0743">
      <w:r>
        <w:separator/>
      </w:r>
    </w:p>
    <w:p w14:paraId="1A250A63" w14:textId="77777777" w:rsidR="003F229E" w:rsidRDefault="003F229E"/>
  </w:endnote>
  <w:endnote w:type="continuationSeparator" w:id="0">
    <w:p w14:paraId="61B46B28" w14:textId="77777777" w:rsidR="003F229E" w:rsidRDefault="003F229E" w:rsidP="001C0743">
      <w:r>
        <w:continuationSeparator/>
      </w:r>
    </w:p>
    <w:p w14:paraId="617FDA36" w14:textId="77777777" w:rsidR="003F229E" w:rsidRDefault="003F229E"/>
  </w:endnote>
  <w:endnote w:type="continuationNotice" w:id="1">
    <w:p w14:paraId="264400A0" w14:textId="77777777" w:rsidR="003F229E" w:rsidRDefault="003F2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BA"/>
    <w:family w:val="swiss"/>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Univers 45 Light">
    <w:altName w:val="Arial"/>
    <w:charset w:val="00"/>
    <w:family w:val="auto"/>
    <w:pitch w:val="variable"/>
    <w:sig w:usb0="8000002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EY Gothic Comp BookPS">
    <w:altName w:val="Arial"/>
    <w:charset w:val="00"/>
    <w:family w:val="swiss"/>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enturyCondensed">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Script">
    <w:panose1 w:val="030B0504020000000003"/>
    <w:charset w:val="BA"/>
    <w:family w:val="script"/>
    <w:pitch w:val="variable"/>
    <w:sig w:usb0="0000028F" w:usb1="00000000" w:usb2="00000000" w:usb3="00000000" w:csb0="0000009F" w:csb1="00000000"/>
  </w:font>
  <w:font w:name="ArialNarrow">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8CE99" w14:textId="77777777" w:rsidR="003F229E" w:rsidRDefault="003F229E" w:rsidP="001C0743">
      <w:r>
        <w:separator/>
      </w:r>
    </w:p>
    <w:p w14:paraId="403A8FB6" w14:textId="77777777" w:rsidR="003F229E" w:rsidRDefault="003F229E"/>
  </w:footnote>
  <w:footnote w:type="continuationSeparator" w:id="0">
    <w:p w14:paraId="455130AE" w14:textId="77777777" w:rsidR="003F229E" w:rsidRDefault="003F229E" w:rsidP="001C0743">
      <w:r>
        <w:continuationSeparator/>
      </w:r>
    </w:p>
    <w:p w14:paraId="56C5599A" w14:textId="77777777" w:rsidR="003F229E" w:rsidRDefault="003F229E"/>
  </w:footnote>
  <w:footnote w:type="continuationNotice" w:id="1">
    <w:p w14:paraId="09892E1D" w14:textId="77777777" w:rsidR="003F229E" w:rsidRDefault="003F229E"/>
  </w:footnote>
  <w:footnote w:id="2">
    <w:p w14:paraId="00C7A2AF" w14:textId="1D94E92A" w:rsidR="00CD3453" w:rsidRPr="00E17BDB" w:rsidRDefault="00CD3453" w:rsidP="000C34A6">
      <w:pPr>
        <w:pStyle w:val="FootnoteText"/>
        <w:jc w:val="both"/>
        <w:rPr>
          <w:rFonts w:ascii="Verdana" w:hAnsi="Verdana"/>
          <w:sz w:val="16"/>
          <w:lang w:val="lt-LT"/>
        </w:rPr>
      </w:pPr>
      <w:r w:rsidRPr="00E17BDB">
        <w:rPr>
          <w:rStyle w:val="FootnoteReference"/>
          <w:rFonts w:ascii="Verdana" w:hAnsi="Verdana"/>
          <w:sz w:val="16"/>
          <w:lang w:val="lt-LT"/>
        </w:rPr>
        <w:footnoteRef/>
      </w:r>
      <w:r w:rsidRPr="00E17BDB">
        <w:rPr>
          <w:rFonts w:ascii="Verdana" w:hAnsi="Verdana"/>
          <w:sz w:val="16"/>
          <w:lang w:val="lt-LT"/>
        </w:rPr>
        <w:t xml:space="preserve"> </w:t>
      </w:r>
      <w:r w:rsidRPr="00E17BDB">
        <w:rPr>
          <w:rFonts w:ascii="Verdana" w:hAnsi="Verdana" w:cs="Calibri"/>
          <w:color w:val="000000"/>
          <w:sz w:val="16"/>
          <w:szCs w:val="16"/>
          <w:lang w:val="lt-LT" w:eastAsia="et-EE"/>
        </w:rPr>
        <w:t>Kitas ilgalaikis turtas</w:t>
      </w:r>
      <w:r w:rsidRPr="00E17BDB">
        <w:rPr>
          <w:rFonts w:ascii="Verdana" w:hAnsi="Verdana"/>
          <w:sz w:val="16"/>
          <w:lang w:val="lt-LT"/>
        </w:rPr>
        <w:t xml:space="preserve"> apima investicijas į dukterines įmones, nematerialųjį turtą, ilgalaikes gautinas sumas, investicijas, skirtas parduoti, asocijuotas įmones, atidėtojo pelno mokesčio turtą.</w:t>
      </w:r>
    </w:p>
  </w:footnote>
  <w:footnote w:id="3">
    <w:p w14:paraId="05B8D118" w14:textId="2AF84347" w:rsidR="00CD3453" w:rsidRPr="00E17BDB" w:rsidRDefault="00CD3453" w:rsidP="000C34A6">
      <w:pPr>
        <w:pStyle w:val="FootnoteText"/>
        <w:rPr>
          <w:rFonts w:ascii="Verdana" w:hAnsi="Verdana"/>
          <w:sz w:val="16"/>
          <w:lang w:val="lt-LT"/>
        </w:rPr>
      </w:pPr>
      <w:r w:rsidRPr="00E17BDB">
        <w:rPr>
          <w:rStyle w:val="FootnoteReference"/>
          <w:rFonts w:ascii="Verdana" w:hAnsi="Verdana"/>
          <w:sz w:val="16"/>
          <w:lang w:val="lt-LT"/>
        </w:rPr>
        <w:footnoteRef/>
      </w:r>
      <w:r w:rsidRPr="00E17BDB">
        <w:rPr>
          <w:rFonts w:ascii="Verdana" w:hAnsi="Verdana"/>
          <w:sz w:val="16"/>
          <w:lang w:val="lt-LT"/>
        </w:rPr>
        <w:t xml:space="preserve"> </w:t>
      </w:r>
      <w:r w:rsidRPr="00E17BDB">
        <w:rPr>
          <w:rFonts w:ascii="Verdana" w:hAnsi="Verdana" w:cs="Calibri"/>
          <w:color w:val="000000"/>
          <w:sz w:val="16"/>
          <w:szCs w:val="16"/>
          <w:lang w:val="lt-LT" w:eastAsia="et-EE"/>
        </w:rPr>
        <w:t>Kiti ilgalaikiai įsipareigojimai</w:t>
      </w:r>
      <w:r w:rsidRPr="00E17BDB">
        <w:rPr>
          <w:rFonts w:ascii="Verdana" w:hAnsi="Verdana"/>
          <w:sz w:val="16"/>
          <w:lang w:val="lt-LT"/>
        </w:rPr>
        <w:t xml:space="preserve"> apima atidėtąsias dotacijų pajamas, atidėtojo pelno mokesčio įsipareigojimus.</w:t>
      </w:r>
    </w:p>
  </w:footnote>
  <w:footnote w:id="4">
    <w:p w14:paraId="1E3A3E12" w14:textId="2B20F5B7" w:rsidR="00CD3453" w:rsidRPr="00E17BDB" w:rsidRDefault="00CD3453" w:rsidP="000C34A6">
      <w:pPr>
        <w:pStyle w:val="FootnoteText"/>
        <w:rPr>
          <w:lang w:val="lt-LT"/>
        </w:rPr>
      </w:pPr>
      <w:r w:rsidRPr="00E17BDB">
        <w:rPr>
          <w:rStyle w:val="FootnoteReference"/>
          <w:rFonts w:ascii="Verdana" w:hAnsi="Verdana"/>
          <w:sz w:val="16"/>
          <w:lang w:val="lt-LT"/>
        </w:rPr>
        <w:footnoteRef/>
      </w:r>
      <w:r w:rsidRPr="00E17BDB">
        <w:rPr>
          <w:rFonts w:ascii="Verdana" w:hAnsi="Verdana"/>
          <w:sz w:val="16"/>
          <w:lang w:val="lt-LT"/>
        </w:rPr>
        <w:t xml:space="preserve"> </w:t>
      </w:r>
      <w:r w:rsidRPr="00E17BDB">
        <w:rPr>
          <w:rFonts w:ascii="Verdana" w:hAnsi="Verdana" w:cs="Calibri"/>
          <w:color w:val="000000"/>
          <w:sz w:val="16"/>
          <w:szCs w:val="16"/>
          <w:lang w:val="lt-LT" w:eastAsia="et-EE"/>
        </w:rPr>
        <w:t>Kiti trumpalaikiai įsipareigojimai</w:t>
      </w:r>
      <w:r w:rsidRPr="00E17BDB">
        <w:rPr>
          <w:rFonts w:ascii="Verdana" w:hAnsi="Verdana"/>
          <w:sz w:val="16"/>
          <w:lang w:val="lt-LT"/>
        </w:rPr>
        <w:t xml:space="preserve"> apima kitas mokėtinas sumas ir trumpalaikius įsipareigojimus, įsipareigojimus, tiesiogiai susijusius su turtu, skirtu parduoti.</w:t>
      </w:r>
    </w:p>
  </w:footnote>
  <w:footnote w:id="5">
    <w:p w14:paraId="4EA0FA68" w14:textId="1D9D69F4" w:rsidR="00CD3453" w:rsidRPr="00E17BDB" w:rsidRDefault="00CD3453">
      <w:pPr>
        <w:pStyle w:val="FootnoteText"/>
        <w:rPr>
          <w:lang w:val="lt-LT"/>
        </w:rPr>
      </w:pPr>
      <w:r w:rsidRPr="00E17BDB">
        <w:rPr>
          <w:rStyle w:val="FootnoteReference"/>
          <w:lang w:val="lt-LT"/>
        </w:rPr>
        <w:footnoteRef/>
      </w:r>
      <w:r w:rsidRPr="00E17BDB">
        <w:rPr>
          <w:lang w:val="lt-LT"/>
        </w:rPr>
        <w:t xml:space="preserve"> </w:t>
      </w:r>
      <w:r w:rsidRPr="00E17BDB">
        <w:rPr>
          <w:rFonts w:ascii="Verdana" w:hAnsi="Verdana" w:cs="Arial"/>
          <w:sz w:val="16"/>
          <w:szCs w:val="16"/>
          <w:lang w:val="lt-LT"/>
        </w:rPr>
        <w:t>Ankstesnis Bendrovės pavadinimas (iki 2016 m. spalio 26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2A1C5" w14:textId="644717E3" w:rsidR="00CD3453" w:rsidRPr="00F8493B" w:rsidRDefault="00CD3453" w:rsidP="00CA3899">
    <w:pPr>
      <w:pStyle w:val="Header"/>
      <w:pBdr>
        <w:bottom w:val="single" w:sz="4" w:space="1" w:color="auto"/>
      </w:pBdr>
      <w:tabs>
        <w:tab w:val="right" w:pos="8820"/>
      </w:tabs>
      <w:ind w:right="-44"/>
      <w:rPr>
        <w:rFonts w:ascii="Verdana" w:hAnsi="Verdana"/>
        <w:sz w:val="16"/>
        <w:szCs w:val="16"/>
        <w:lang w:val="lt-LT"/>
      </w:rPr>
    </w:pPr>
    <w:r w:rsidRPr="00F8493B">
      <w:rPr>
        <w:rFonts w:ascii="Verdana" w:hAnsi="Verdana"/>
        <w:sz w:val="16"/>
        <w:szCs w:val="16"/>
        <w:lang w:val="lt-LT"/>
      </w:rPr>
      <w:t xml:space="preserve">AUGA </w:t>
    </w:r>
    <w:proofErr w:type="spellStart"/>
    <w:r w:rsidRPr="00F8493B">
      <w:rPr>
        <w:rFonts w:ascii="Verdana" w:hAnsi="Verdana"/>
        <w:sz w:val="16"/>
        <w:szCs w:val="16"/>
        <w:lang w:val="lt-LT"/>
      </w:rPr>
      <w:t>group</w:t>
    </w:r>
    <w:proofErr w:type="spellEnd"/>
    <w:r w:rsidRPr="00F8493B">
      <w:rPr>
        <w:rFonts w:ascii="Verdana" w:hAnsi="Verdana"/>
        <w:sz w:val="16"/>
        <w:szCs w:val="16"/>
        <w:lang w:val="lt-LT"/>
      </w:rPr>
      <w:t>, AB prospekto santrauk</w:t>
    </w:r>
    <w:r>
      <w:rPr>
        <w:rFonts w:ascii="Verdana" w:hAnsi="Verdana"/>
        <w:sz w:val="16"/>
        <w:szCs w:val="16"/>
        <w:lang w:val="lt-LT"/>
      </w:rPr>
      <w:t>os vertimas į lietuvių kalbą</w:t>
    </w:r>
    <w:r w:rsidRPr="00F8493B">
      <w:rPr>
        <w:rFonts w:ascii="Verdana" w:hAnsi="Verdana"/>
        <w:sz w:val="16"/>
        <w:szCs w:val="16"/>
        <w:lang w:val="lt-LT"/>
      </w:rPr>
      <w:tab/>
    </w:r>
    <w:r w:rsidRPr="00F8493B">
      <w:rPr>
        <w:rFonts w:ascii="Verdana" w:hAnsi="Verdana"/>
        <w:sz w:val="16"/>
        <w:szCs w:val="16"/>
        <w:lang w:val="lt-LT"/>
      </w:rPr>
      <w:tab/>
    </w:r>
  </w:p>
  <w:p w14:paraId="28D4D657" w14:textId="77777777" w:rsidR="00CD3453" w:rsidRPr="00F8493B" w:rsidRDefault="00CD3453" w:rsidP="001C0743">
    <w:pPr>
      <w:pStyle w:val="Header"/>
      <w:jc w:val="right"/>
      <w:rPr>
        <w:rFonts w:ascii="Arial" w:hAnsi="Arial" w:cs="Arial"/>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6DB"/>
    <w:multiLevelType w:val="hybridMultilevel"/>
    <w:tmpl w:val="C360C03E"/>
    <w:lvl w:ilvl="0" w:tplc="AD3673EE">
      <w:start w:val="1"/>
      <w:numFmt w:val="bullet"/>
      <w:pStyle w:val="Body1"/>
      <w:lvlText w:val=""/>
      <w:lvlJc w:val="left"/>
      <w:pPr>
        <w:tabs>
          <w:tab w:val="num" w:pos="992"/>
        </w:tabs>
        <w:ind w:left="99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C39E7"/>
    <w:multiLevelType w:val="hybridMultilevel"/>
    <w:tmpl w:val="E758BC2A"/>
    <w:lvl w:ilvl="0" w:tplc="E454049A">
      <w:start w:val="16"/>
      <w:numFmt w:val="bullet"/>
      <w:lvlText w:val="-"/>
      <w:lvlJc w:val="left"/>
      <w:pPr>
        <w:tabs>
          <w:tab w:val="num" w:pos="720"/>
        </w:tabs>
        <w:ind w:left="720" w:hanging="360"/>
      </w:pPr>
      <w:rPr>
        <w:rFonts w:ascii="Arial" w:eastAsia="Times New Roman" w:hAnsi="Arial" w:cs="Aria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31975CB"/>
    <w:multiLevelType w:val="hybridMultilevel"/>
    <w:tmpl w:val="D33886DA"/>
    <w:lvl w:ilvl="0" w:tplc="FCAA97E0">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806E42"/>
    <w:multiLevelType w:val="hybridMultilevel"/>
    <w:tmpl w:val="73AA9F86"/>
    <w:lvl w:ilvl="0" w:tplc="7AC65C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8132A8"/>
    <w:multiLevelType w:val="hybridMultilevel"/>
    <w:tmpl w:val="E41C9F8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F3B6BCF"/>
    <w:multiLevelType w:val="hybridMultilevel"/>
    <w:tmpl w:val="8BBC1990"/>
    <w:lvl w:ilvl="0" w:tplc="1B785248">
      <w:start w:val="1"/>
      <w:numFmt w:val="bullet"/>
      <w:pStyle w:val="DeltaViewTableBody"/>
      <w:lvlText w:val=""/>
      <w:lvlJc w:val="left"/>
      <w:pPr>
        <w:tabs>
          <w:tab w:val="num" w:pos="737"/>
        </w:tabs>
        <w:ind w:left="737" w:hanging="737"/>
      </w:pPr>
      <w:rPr>
        <w:rFonts w:ascii="Symbol" w:hAnsi="Symbol" w:hint="default"/>
      </w:rPr>
    </w:lvl>
    <w:lvl w:ilvl="1" w:tplc="557CE042"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C93678"/>
    <w:multiLevelType w:val="hybridMultilevel"/>
    <w:tmpl w:val="431C0798"/>
    <w:lvl w:ilvl="0" w:tplc="FCAA9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94191"/>
    <w:multiLevelType w:val="hybridMultilevel"/>
    <w:tmpl w:val="FF5022BA"/>
    <w:lvl w:ilvl="0" w:tplc="2E0A91D6">
      <w:start w:val="1"/>
      <w:numFmt w:val="lowerRoman"/>
      <w:lvlText w:val="(%1)"/>
      <w:lvlJc w:val="left"/>
      <w:pPr>
        <w:ind w:left="1080" w:hanging="720"/>
      </w:pPr>
      <w:rPr>
        <w:rFonts w:hint="default"/>
      </w:rPr>
    </w:lvl>
    <w:lvl w:ilvl="1" w:tplc="D14498BA">
      <w:start w:val="1"/>
      <w:numFmt w:val="lowerLetter"/>
      <w:lvlText w:val="(%2)"/>
      <w:lvlJc w:val="left"/>
      <w:pPr>
        <w:ind w:left="1440" w:hanging="360"/>
      </w:pPr>
      <w:rPr>
        <w:rFonts w:ascii="Arial" w:eastAsia="Calibri" w:hAnsi="Arial" w:cs="Arial"/>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0F704CA"/>
    <w:multiLevelType w:val="hybridMultilevel"/>
    <w:tmpl w:val="C9345C82"/>
    <w:lvl w:ilvl="0" w:tplc="4AD42C58">
      <w:start w:val="1"/>
      <w:numFmt w:val="bullet"/>
      <w:pStyle w:val="BM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2C4045"/>
    <w:multiLevelType w:val="hybridMultilevel"/>
    <w:tmpl w:val="86EA2D6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7BC2ADF"/>
    <w:multiLevelType w:val="hybridMultilevel"/>
    <w:tmpl w:val="B7524666"/>
    <w:lvl w:ilvl="0" w:tplc="B1AC975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C5AE4"/>
    <w:multiLevelType w:val="hybridMultilevel"/>
    <w:tmpl w:val="EF1EFEB8"/>
    <w:lvl w:ilvl="0" w:tplc="15524204">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205F0D71"/>
    <w:multiLevelType w:val="hybridMultilevel"/>
    <w:tmpl w:val="9C46A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706D33"/>
    <w:multiLevelType w:val="hybridMultilevel"/>
    <w:tmpl w:val="2E2832F8"/>
    <w:lvl w:ilvl="0" w:tplc="D14498BA">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73CBE"/>
    <w:multiLevelType w:val="hybridMultilevel"/>
    <w:tmpl w:val="16E6EABA"/>
    <w:lvl w:ilvl="0" w:tplc="FCAA97E0">
      <w:start w:val="1"/>
      <w:numFmt w:val="lowerLetter"/>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35B0BA0"/>
    <w:multiLevelType w:val="hybridMultilevel"/>
    <w:tmpl w:val="65FE307E"/>
    <w:lvl w:ilvl="0" w:tplc="E68AF5A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7C74175"/>
    <w:multiLevelType w:val="hybridMultilevel"/>
    <w:tmpl w:val="431C0798"/>
    <w:lvl w:ilvl="0" w:tplc="FCAA9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30A1E"/>
    <w:multiLevelType w:val="hybridMultilevel"/>
    <w:tmpl w:val="5ABA2026"/>
    <w:lvl w:ilvl="0" w:tplc="B1AC9756">
      <w:start w:val="1"/>
      <w:numFmt w:val="bullet"/>
      <w:lvlText w:val="–"/>
      <w:lvlJc w:val="left"/>
      <w:pPr>
        <w:tabs>
          <w:tab w:val="num" w:pos="1080"/>
        </w:tabs>
        <w:ind w:left="1080" w:hanging="360"/>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2CFE46DD"/>
    <w:multiLevelType w:val="hybridMultilevel"/>
    <w:tmpl w:val="A8AEB344"/>
    <w:lvl w:ilvl="0" w:tplc="B1AC9756">
      <w:start w:val="1"/>
      <w:numFmt w:val="bullet"/>
      <w:lvlText w:val="–"/>
      <w:lvlJc w:val="left"/>
      <w:pPr>
        <w:tabs>
          <w:tab w:val="num" w:pos="1080"/>
        </w:tabs>
        <w:ind w:left="1080" w:hanging="360"/>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2D8F109A"/>
    <w:multiLevelType w:val="hybridMultilevel"/>
    <w:tmpl w:val="DBB4402E"/>
    <w:lvl w:ilvl="0" w:tplc="707A5CB8">
      <w:start w:val="1"/>
      <w:numFmt w:val="lowerLetter"/>
      <w:lvlText w:val="(%1)"/>
      <w:lvlJc w:val="left"/>
      <w:pPr>
        <w:ind w:left="180" w:hanging="180"/>
      </w:pPr>
      <w:rPr>
        <w:rFonts w:cs="Times New Roman" w:hint="default"/>
        <w:b w:val="0"/>
        <w:i w:val="0"/>
        <w:color w:val="auto"/>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80" w:hanging="180"/>
      </w:pPr>
    </w:lvl>
    <w:lvl w:ilvl="3" w:tplc="0427000F" w:tentative="1">
      <w:start w:val="1"/>
      <w:numFmt w:val="decimal"/>
      <w:lvlText w:val="%4."/>
      <w:lvlJc w:val="left"/>
      <w:pPr>
        <w:ind w:left="900" w:hanging="360"/>
      </w:pPr>
    </w:lvl>
    <w:lvl w:ilvl="4" w:tplc="04270019" w:tentative="1">
      <w:start w:val="1"/>
      <w:numFmt w:val="lowerLetter"/>
      <w:lvlText w:val="%5."/>
      <w:lvlJc w:val="left"/>
      <w:pPr>
        <w:ind w:left="1620" w:hanging="360"/>
      </w:pPr>
    </w:lvl>
    <w:lvl w:ilvl="5" w:tplc="0427001B" w:tentative="1">
      <w:start w:val="1"/>
      <w:numFmt w:val="lowerRoman"/>
      <w:lvlText w:val="%6."/>
      <w:lvlJc w:val="right"/>
      <w:pPr>
        <w:ind w:left="2340" w:hanging="180"/>
      </w:pPr>
    </w:lvl>
    <w:lvl w:ilvl="6" w:tplc="0427000F" w:tentative="1">
      <w:start w:val="1"/>
      <w:numFmt w:val="decimal"/>
      <w:lvlText w:val="%7."/>
      <w:lvlJc w:val="left"/>
      <w:pPr>
        <w:ind w:left="3060" w:hanging="360"/>
      </w:pPr>
    </w:lvl>
    <w:lvl w:ilvl="7" w:tplc="04270019" w:tentative="1">
      <w:start w:val="1"/>
      <w:numFmt w:val="lowerLetter"/>
      <w:lvlText w:val="%8."/>
      <w:lvlJc w:val="left"/>
      <w:pPr>
        <w:ind w:left="3780" w:hanging="360"/>
      </w:pPr>
    </w:lvl>
    <w:lvl w:ilvl="8" w:tplc="0427001B" w:tentative="1">
      <w:start w:val="1"/>
      <w:numFmt w:val="lowerRoman"/>
      <w:lvlText w:val="%9."/>
      <w:lvlJc w:val="right"/>
      <w:pPr>
        <w:ind w:left="4500" w:hanging="180"/>
      </w:pPr>
    </w:lvl>
  </w:abstractNum>
  <w:abstractNum w:abstractNumId="20">
    <w:nsid w:val="2DE45217"/>
    <w:multiLevelType w:val="hybridMultilevel"/>
    <w:tmpl w:val="60B21662"/>
    <w:lvl w:ilvl="0" w:tplc="56DA3A0C">
      <w:start w:val="1"/>
      <w:numFmt w:val="decimal"/>
      <w:lvlText w:val="%1."/>
      <w:lvlJc w:val="left"/>
      <w:pPr>
        <w:ind w:left="473" w:hanging="360"/>
      </w:pPr>
      <w:rPr>
        <w:rFonts w:hint="default"/>
      </w:rPr>
    </w:lvl>
    <w:lvl w:ilvl="1" w:tplc="04250019" w:tentative="1">
      <w:start w:val="1"/>
      <w:numFmt w:val="lowerLetter"/>
      <w:lvlText w:val="%2."/>
      <w:lvlJc w:val="left"/>
      <w:pPr>
        <w:ind w:left="1193" w:hanging="360"/>
      </w:pPr>
    </w:lvl>
    <w:lvl w:ilvl="2" w:tplc="0425001B" w:tentative="1">
      <w:start w:val="1"/>
      <w:numFmt w:val="lowerRoman"/>
      <w:lvlText w:val="%3."/>
      <w:lvlJc w:val="right"/>
      <w:pPr>
        <w:ind w:left="1913" w:hanging="180"/>
      </w:pPr>
    </w:lvl>
    <w:lvl w:ilvl="3" w:tplc="0425000F" w:tentative="1">
      <w:start w:val="1"/>
      <w:numFmt w:val="decimal"/>
      <w:lvlText w:val="%4."/>
      <w:lvlJc w:val="left"/>
      <w:pPr>
        <w:ind w:left="2633" w:hanging="360"/>
      </w:pPr>
    </w:lvl>
    <w:lvl w:ilvl="4" w:tplc="04250019" w:tentative="1">
      <w:start w:val="1"/>
      <w:numFmt w:val="lowerLetter"/>
      <w:lvlText w:val="%5."/>
      <w:lvlJc w:val="left"/>
      <w:pPr>
        <w:ind w:left="3353" w:hanging="360"/>
      </w:pPr>
    </w:lvl>
    <w:lvl w:ilvl="5" w:tplc="0425001B" w:tentative="1">
      <w:start w:val="1"/>
      <w:numFmt w:val="lowerRoman"/>
      <w:lvlText w:val="%6."/>
      <w:lvlJc w:val="right"/>
      <w:pPr>
        <w:ind w:left="4073" w:hanging="180"/>
      </w:pPr>
    </w:lvl>
    <w:lvl w:ilvl="6" w:tplc="0425000F" w:tentative="1">
      <w:start w:val="1"/>
      <w:numFmt w:val="decimal"/>
      <w:lvlText w:val="%7."/>
      <w:lvlJc w:val="left"/>
      <w:pPr>
        <w:ind w:left="4793" w:hanging="360"/>
      </w:pPr>
    </w:lvl>
    <w:lvl w:ilvl="7" w:tplc="04250019" w:tentative="1">
      <w:start w:val="1"/>
      <w:numFmt w:val="lowerLetter"/>
      <w:lvlText w:val="%8."/>
      <w:lvlJc w:val="left"/>
      <w:pPr>
        <w:ind w:left="5513" w:hanging="360"/>
      </w:pPr>
    </w:lvl>
    <w:lvl w:ilvl="8" w:tplc="0425001B" w:tentative="1">
      <w:start w:val="1"/>
      <w:numFmt w:val="lowerRoman"/>
      <w:lvlText w:val="%9."/>
      <w:lvlJc w:val="right"/>
      <w:pPr>
        <w:ind w:left="6233" w:hanging="180"/>
      </w:pPr>
    </w:lvl>
  </w:abstractNum>
  <w:abstractNum w:abstractNumId="21">
    <w:nsid w:val="2E274F66"/>
    <w:multiLevelType w:val="hybridMultilevel"/>
    <w:tmpl w:val="D0C6F01E"/>
    <w:lvl w:ilvl="0" w:tplc="F728423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2EE25C77"/>
    <w:multiLevelType w:val="hybridMultilevel"/>
    <w:tmpl w:val="616A7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F11A9E"/>
    <w:multiLevelType w:val="hybridMultilevel"/>
    <w:tmpl w:val="8A9601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2FF038DD"/>
    <w:multiLevelType w:val="hybridMultilevel"/>
    <w:tmpl w:val="709A43A4"/>
    <w:lvl w:ilvl="0" w:tplc="1B888B82">
      <w:start w:val="1"/>
      <w:numFmt w:val="lowerLetter"/>
      <w:lvlText w:val="(%1)"/>
      <w:lvlJc w:val="left"/>
      <w:pPr>
        <w:ind w:left="720" w:hanging="360"/>
      </w:pPr>
      <w:rPr>
        <w:rFonts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01852F9"/>
    <w:multiLevelType w:val="hybridMultilevel"/>
    <w:tmpl w:val="A606D274"/>
    <w:lvl w:ilvl="0" w:tplc="1B888B82">
      <w:start w:val="1"/>
      <w:numFmt w:val="lowerLetter"/>
      <w:lvlText w:val="(%1)"/>
      <w:lvlJc w:val="left"/>
      <w:pPr>
        <w:ind w:left="720" w:hanging="360"/>
      </w:pPr>
      <w:rPr>
        <w:rFonts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311B178C"/>
    <w:multiLevelType w:val="hybridMultilevel"/>
    <w:tmpl w:val="F628DC70"/>
    <w:lvl w:ilvl="0" w:tplc="AB904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0B17BB"/>
    <w:multiLevelType w:val="hybridMultilevel"/>
    <w:tmpl w:val="11EE4698"/>
    <w:lvl w:ilvl="0" w:tplc="1B888B82">
      <w:start w:val="1"/>
      <w:numFmt w:val="lowerLetter"/>
      <w:lvlText w:val="(%1)"/>
      <w:lvlJc w:val="left"/>
      <w:pPr>
        <w:ind w:left="720" w:hanging="360"/>
      </w:pPr>
      <w:rPr>
        <w:rFonts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36E11942"/>
    <w:multiLevelType w:val="hybridMultilevel"/>
    <w:tmpl w:val="431C0798"/>
    <w:lvl w:ilvl="0" w:tplc="FCAA9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B7002E"/>
    <w:multiLevelType w:val="hybridMultilevel"/>
    <w:tmpl w:val="D33886DA"/>
    <w:lvl w:ilvl="0" w:tplc="FCAA97E0">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3AD1494"/>
    <w:multiLevelType w:val="hybridMultilevel"/>
    <w:tmpl w:val="F250776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44B460BC"/>
    <w:multiLevelType w:val="hybridMultilevel"/>
    <w:tmpl w:val="D152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0F7912"/>
    <w:multiLevelType w:val="hybridMultilevel"/>
    <w:tmpl w:val="DA6A93E0"/>
    <w:lvl w:ilvl="0" w:tplc="1B888B82">
      <w:start w:val="1"/>
      <w:numFmt w:val="lowerLetter"/>
      <w:lvlText w:val="(%1)"/>
      <w:lvlJc w:val="left"/>
      <w:pPr>
        <w:ind w:left="720" w:hanging="360"/>
      </w:pPr>
      <w:rPr>
        <w:rFonts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4A5735B5"/>
    <w:multiLevelType w:val="hybridMultilevel"/>
    <w:tmpl w:val="ABD6CE1A"/>
    <w:lvl w:ilvl="0" w:tplc="FCAA9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6D75C4"/>
    <w:multiLevelType w:val="hybridMultilevel"/>
    <w:tmpl w:val="AA065CFC"/>
    <w:lvl w:ilvl="0" w:tplc="738E7CF8">
      <w:start w:val="1"/>
      <w:numFmt w:val="lowerRoman"/>
      <w:lvlText w:val="(%1)"/>
      <w:lvlJc w:val="left"/>
      <w:pPr>
        <w:ind w:left="780" w:hanging="720"/>
      </w:pPr>
      <w:rPr>
        <w:rFonts w:hint="default"/>
      </w:rPr>
    </w:lvl>
    <w:lvl w:ilvl="1" w:tplc="04250019">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5">
    <w:nsid w:val="4AEB539A"/>
    <w:multiLevelType w:val="hybridMultilevel"/>
    <w:tmpl w:val="776281D2"/>
    <w:lvl w:ilvl="0" w:tplc="B9707550">
      <w:start w:val="1"/>
      <w:numFmt w:val="decimal"/>
      <w:lvlText w:val="%1."/>
      <w:lvlJc w:val="left"/>
      <w:pPr>
        <w:ind w:left="720" w:hanging="360"/>
      </w:pPr>
      <w:rPr>
        <w:rFonts w:ascii="Verdana" w:hAnsi="Verdana"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4B1E7800"/>
    <w:multiLevelType w:val="hybridMultilevel"/>
    <w:tmpl w:val="C1B4BC5C"/>
    <w:lvl w:ilvl="0" w:tplc="04270011">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4BE54A25"/>
    <w:multiLevelType w:val="hybridMultilevel"/>
    <w:tmpl w:val="77CA1C3A"/>
    <w:lvl w:ilvl="0" w:tplc="024A4576">
      <w:start w:val="1"/>
      <w:numFmt w:val="lowerRoman"/>
      <w:lvlText w:val="(%1)"/>
      <w:lvlJc w:val="left"/>
      <w:pPr>
        <w:ind w:left="720" w:hanging="360"/>
      </w:pPr>
      <w:rPr>
        <w:rFonts w:eastAsia="Calibri" w:cs="Times New Roman" w:hint="default"/>
        <w:color w:val="000000" w:themeColor="tex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4CA755D7"/>
    <w:multiLevelType w:val="hybridMultilevel"/>
    <w:tmpl w:val="E00E10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4CAB0033"/>
    <w:multiLevelType w:val="hybridMultilevel"/>
    <w:tmpl w:val="EDAA27B0"/>
    <w:lvl w:ilvl="0" w:tplc="0CF42D0E">
      <w:start w:val="9"/>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E210FE7"/>
    <w:multiLevelType w:val="hybridMultilevel"/>
    <w:tmpl w:val="65FE307E"/>
    <w:lvl w:ilvl="0" w:tplc="E68AF5A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4E573482"/>
    <w:multiLevelType w:val="hybridMultilevel"/>
    <w:tmpl w:val="D090A2B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4F652C07"/>
    <w:multiLevelType w:val="hybridMultilevel"/>
    <w:tmpl w:val="D2964D3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535B20F4"/>
    <w:multiLevelType w:val="hybridMultilevel"/>
    <w:tmpl w:val="CA165EC2"/>
    <w:lvl w:ilvl="0" w:tplc="B1AC975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3E8261B"/>
    <w:multiLevelType w:val="hybridMultilevel"/>
    <w:tmpl w:val="F4BC85BE"/>
    <w:lvl w:ilvl="0" w:tplc="D9AC1C78">
      <w:start w:val="1"/>
      <w:numFmt w:val="lowerRoman"/>
      <w:lvlText w:val="(%1)"/>
      <w:lvlJc w:val="left"/>
      <w:pPr>
        <w:ind w:left="1080" w:hanging="720"/>
      </w:pPr>
      <w:rPr>
        <w:rFonts w:hint="default"/>
      </w:rPr>
    </w:lvl>
    <w:lvl w:ilvl="1" w:tplc="6CA2E4F8">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5416128E"/>
    <w:multiLevelType w:val="hybridMultilevel"/>
    <w:tmpl w:val="083E92A0"/>
    <w:lvl w:ilvl="0" w:tplc="C9682E2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54243A72"/>
    <w:multiLevelType w:val="hybridMultilevel"/>
    <w:tmpl w:val="ABD6CE1A"/>
    <w:lvl w:ilvl="0" w:tplc="FCAA9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46610F"/>
    <w:multiLevelType w:val="hybridMultilevel"/>
    <w:tmpl w:val="91BA2C2A"/>
    <w:lvl w:ilvl="0" w:tplc="BB10C45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5B731369"/>
    <w:multiLevelType w:val="hybridMultilevel"/>
    <w:tmpl w:val="7322440E"/>
    <w:lvl w:ilvl="0" w:tplc="327E8128">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5CE33FF8"/>
    <w:multiLevelType w:val="hybridMultilevel"/>
    <w:tmpl w:val="AC6ACFFA"/>
    <w:lvl w:ilvl="0" w:tplc="4C42EED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nsid w:val="5DEB4D6E"/>
    <w:multiLevelType w:val="hybridMultilevel"/>
    <w:tmpl w:val="D33886DA"/>
    <w:lvl w:ilvl="0" w:tplc="FCAA97E0">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nsid w:val="5E33264A"/>
    <w:multiLevelType w:val="hybridMultilevel"/>
    <w:tmpl w:val="2E2832F8"/>
    <w:lvl w:ilvl="0" w:tplc="D14498BA">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1E5785"/>
    <w:multiLevelType w:val="hybridMultilevel"/>
    <w:tmpl w:val="431C0798"/>
    <w:lvl w:ilvl="0" w:tplc="FCAA9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C7048B"/>
    <w:multiLevelType w:val="hybridMultilevel"/>
    <w:tmpl w:val="AC361056"/>
    <w:lvl w:ilvl="0" w:tplc="FCAA97E0">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nsid w:val="66103440"/>
    <w:multiLevelType w:val="hybridMultilevel"/>
    <w:tmpl w:val="6C5EC5CA"/>
    <w:lvl w:ilvl="0" w:tplc="D9AC1C78">
      <w:start w:val="1"/>
      <w:numFmt w:val="lowerRoman"/>
      <w:lvlText w:val="(%1)"/>
      <w:lvlJc w:val="left"/>
      <w:pPr>
        <w:ind w:left="1440" w:hanging="72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5">
    <w:nsid w:val="68445057"/>
    <w:multiLevelType w:val="hybridMultilevel"/>
    <w:tmpl w:val="AC361056"/>
    <w:lvl w:ilvl="0" w:tplc="FCAA97E0">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nsid w:val="69680137"/>
    <w:multiLevelType w:val="hybridMultilevel"/>
    <w:tmpl w:val="E2547346"/>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9DE3235"/>
    <w:multiLevelType w:val="hybridMultilevel"/>
    <w:tmpl w:val="BEB23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A870558"/>
    <w:multiLevelType w:val="hybridMultilevel"/>
    <w:tmpl w:val="EA78A316"/>
    <w:lvl w:ilvl="0" w:tplc="ECA418F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nsid w:val="6B6B329E"/>
    <w:multiLevelType w:val="hybridMultilevel"/>
    <w:tmpl w:val="1730155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nsid w:val="6BCD6E9B"/>
    <w:multiLevelType w:val="hybridMultilevel"/>
    <w:tmpl w:val="431C0798"/>
    <w:lvl w:ilvl="0" w:tplc="FCAA9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D94219"/>
    <w:multiLevelType w:val="hybridMultilevel"/>
    <w:tmpl w:val="65FE307E"/>
    <w:lvl w:ilvl="0" w:tplc="E68AF5A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nsid w:val="6ED77653"/>
    <w:multiLevelType w:val="hybridMultilevel"/>
    <w:tmpl w:val="AF2A4A12"/>
    <w:lvl w:ilvl="0" w:tplc="89AE7494">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nsid w:val="71F2305B"/>
    <w:multiLevelType w:val="hybridMultilevel"/>
    <w:tmpl w:val="ABD6CE1A"/>
    <w:lvl w:ilvl="0" w:tplc="FCAA9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675558"/>
    <w:multiLevelType w:val="hybridMultilevel"/>
    <w:tmpl w:val="BB983F3C"/>
    <w:lvl w:ilvl="0" w:tplc="1B888B82">
      <w:start w:val="1"/>
      <w:numFmt w:val="lowerLetter"/>
      <w:lvlText w:val="(%1)"/>
      <w:lvlJc w:val="left"/>
      <w:pPr>
        <w:ind w:left="1080" w:hanging="720"/>
      </w:pPr>
      <w:rPr>
        <w:rFonts w:cs="Times New Roman" w:hint="default"/>
      </w:rPr>
    </w:lvl>
    <w:lvl w:ilvl="1" w:tplc="1B888B82">
      <w:start w:val="1"/>
      <w:numFmt w:val="lowerLetter"/>
      <w:lvlText w:val="(%2)"/>
      <w:lvlJc w:val="left"/>
      <w:pPr>
        <w:ind w:left="1440" w:hanging="360"/>
      </w:pPr>
      <w:rPr>
        <w:rFonts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nsid w:val="758123E2"/>
    <w:multiLevelType w:val="hybridMultilevel"/>
    <w:tmpl w:val="AA065CFC"/>
    <w:lvl w:ilvl="0" w:tplc="738E7CF8">
      <w:start w:val="1"/>
      <w:numFmt w:val="lowerRoman"/>
      <w:lvlText w:val="(%1)"/>
      <w:lvlJc w:val="left"/>
      <w:pPr>
        <w:ind w:left="780" w:hanging="720"/>
      </w:pPr>
      <w:rPr>
        <w:rFonts w:hint="default"/>
      </w:rPr>
    </w:lvl>
    <w:lvl w:ilvl="1" w:tplc="04250019">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66">
    <w:nsid w:val="760F62A7"/>
    <w:multiLevelType w:val="hybridMultilevel"/>
    <w:tmpl w:val="BC8E43E0"/>
    <w:lvl w:ilvl="0" w:tplc="FFFFFFFF">
      <w:start w:val="1"/>
      <w:numFmt w:val="lowerLetter"/>
      <w:lvlText w:val="(%1)"/>
      <w:lvlJc w:val="left"/>
      <w:pPr>
        <w:ind w:left="1440" w:hanging="720"/>
      </w:pPr>
      <w:rPr>
        <w:rFonts w:cs="Times New Roman"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7">
    <w:nsid w:val="791D3255"/>
    <w:multiLevelType w:val="hybridMultilevel"/>
    <w:tmpl w:val="659A3C28"/>
    <w:lvl w:ilvl="0" w:tplc="FFFFFFFF">
      <w:start w:val="1"/>
      <w:numFmt w:val="lowerLetter"/>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A013F52"/>
    <w:multiLevelType w:val="hybridMultilevel"/>
    <w:tmpl w:val="5F245240"/>
    <w:lvl w:ilvl="0" w:tplc="FCAA97E0">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nsid w:val="7B0C5BBA"/>
    <w:multiLevelType w:val="hybridMultilevel"/>
    <w:tmpl w:val="65FE307E"/>
    <w:lvl w:ilvl="0" w:tplc="E68AF5A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nsid w:val="7B8861EA"/>
    <w:multiLevelType w:val="hybridMultilevel"/>
    <w:tmpl w:val="41DC2140"/>
    <w:lvl w:ilvl="0" w:tplc="F6ACCAE6">
      <w:start w:val="1"/>
      <w:numFmt w:val="lowerRoman"/>
      <w:lvlText w:val="(%1)"/>
      <w:lvlJc w:val="left"/>
      <w:pPr>
        <w:tabs>
          <w:tab w:val="num" w:pos="1080"/>
        </w:tabs>
        <w:ind w:left="1080" w:hanging="720"/>
      </w:pPr>
      <w:rPr>
        <w:rFonts w:ascii="Arial" w:hAnsi="Arial" w:hint="default"/>
        <w:b w:val="0"/>
        <w:i w:val="0"/>
        <w:sz w:val="1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1">
    <w:nsid w:val="7B8C068A"/>
    <w:multiLevelType w:val="hybridMultilevel"/>
    <w:tmpl w:val="FBA8FAFC"/>
    <w:lvl w:ilvl="0" w:tplc="B1AC9756">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E556035"/>
    <w:multiLevelType w:val="hybridMultilevel"/>
    <w:tmpl w:val="86EA2D6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1"/>
  </w:num>
  <w:num w:numId="5">
    <w:abstractNumId w:val="10"/>
  </w:num>
  <w:num w:numId="6">
    <w:abstractNumId w:val="26"/>
  </w:num>
  <w:num w:numId="7">
    <w:abstractNumId w:val="17"/>
  </w:num>
  <w:num w:numId="8">
    <w:abstractNumId w:val="70"/>
  </w:num>
  <w:num w:numId="9">
    <w:abstractNumId w:val="35"/>
  </w:num>
  <w:num w:numId="10">
    <w:abstractNumId w:val="5"/>
  </w:num>
  <w:num w:numId="11">
    <w:abstractNumId w:val="8"/>
  </w:num>
  <w:num w:numId="12">
    <w:abstractNumId w:val="67"/>
  </w:num>
  <w:num w:numId="13">
    <w:abstractNumId w:val="20"/>
  </w:num>
  <w:num w:numId="14">
    <w:abstractNumId w:val="28"/>
  </w:num>
  <w:num w:numId="15">
    <w:abstractNumId w:val="63"/>
  </w:num>
  <w:num w:numId="16">
    <w:abstractNumId w:val="55"/>
  </w:num>
  <w:num w:numId="17">
    <w:abstractNumId w:val="29"/>
  </w:num>
  <w:num w:numId="18">
    <w:abstractNumId w:val="36"/>
  </w:num>
  <w:num w:numId="19">
    <w:abstractNumId w:val="59"/>
  </w:num>
  <w:num w:numId="20">
    <w:abstractNumId w:val="16"/>
  </w:num>
  <w:num w:numId="21">
    <w:abstractNumId w:val="60"/>
  </w:num>
  <w:num w:numId="22">
    <w:abstractNumId w:val="33"/>
  </w:num>
  <w:num w:numId="23">
    <w:abstractNumId w:val="2"/>
  </w:num>
  <w:num w:numId="24">
    <w:abstractNumId w:val="52"/>
  </w:num>
  <w:num w:numId="25">
    <w:abstractNumId w:val="51"/>
  </w:num>
  <w:num w:numId="26">
    <w:abstractNumId w:val="13"/>
  </w:num>
  <w:num w:numId="27">
    <w:abstractNumId w:val="14"/>
  </w:num>
  <w:num w:numId="28">
    <w:abstractNumId w:val="61"/>
  </w:num>
  <w:num w:numId="29">
    <w:abstractNumId w:val="69"/>
  </w:num>
  <w:num w:numId="30">
    <w:abstractNumId w:val="6"/>
  </w:num>
  <w:num w:numId="31">
    <w:abstractNumId w:val="68"/>
  </w:num>
  <w:num w:numId="32">
    <w:abstractNumId w:val="7"/>
  </w:num>
  <w:num w:numId="33">
    <w:abstractNumId w:val="45"/>
  </w:num>
  <w:num w:numId="34">
    <w:abstractNumId w:val="49"/>
  </w:num>
  <w:num w:numId="35">
    <w:abstractNumId w:val="6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44"/>
  </w:num>
  <w:num w:numId="39">
    <w:abstractNumId w:val="58"/>
  </w:num>
  <w:num w:numId="40">
    <w:abstractNumId w:val="21"/>
  </w:num>
  <w:num w:numId="41">
    <w:abstractNumId w:val="47"/>
  </w:num>
  <w:num w:numId="42">
    <w:abstractNumId w:val="15"/>
  </w:num>
  <w:num w:numId="43">
    <w:abstractNumId w:val="53"/>
  </w:num>
  <w:num w:numId="44">
    <w:abstractNumId w:val="46"/>
  </w:num>
  <w:num w:numId="45">
    <w:abstractNumId w:val="34"/>
  </w:num>
  <w:num w:numId="46">
    <w:abstractNumId w:val="37"/>
  </w:num>
  <w:num w:numId="47">
    <w:abstractNumId w:val="65"/>
  </w:num>
  <w:num w:numId="48">
    <w:abstractNumId w:val="38"/>
  </w:num>
  <w:num w:numId="49">
    <w:abstractNumId w:val="71"/>
  </w:num>
  <w:num w:numId="50">
    <w:abstractNumId w:val="27"/>
  </w:num>
  <w:num w:numId="51">
    <w:abstractNumId w:val="24"/>
  </w:num>
  <w:num w:numId="52">
    <w:abstractNumId w:val="25"/>
  </w:num>
  <w:num w:numId="53">
    <w:abstractNumId w:val="32"/>
  </w:num>
  <w:num w:numId="54">
    <w:abstractNumId w:val="64"/>
  </w:num>
  <w:num w:numId="55">
    <w:abstractNumId w:val="19"/>
  </w:num>
  <w:num w:numId="56">
    <w:abstractNumId w:val="3"/>
  </w:num>
  <w:num w:numId="57">
    <w:abstractNumId w:val="43"/>
  </w:num>
  <w:num w:numId="58">
    <w:abstractNumId w:val="23"/>
  </w:num>
  <w:num w:numId="59">
    <w:abstractNumId w:val="30"/>
  </w:num>
  <w:num w:numId="60">
    <w:abstractNumId w:val="39"/>
  </w:num>
  <w:num w:numId="61">
    <w:abstractNumId w:val="57"/>
  </w:num>
  <w:num w:numId="62">
    <w:abstractNumId w:val="31"/>
  </w:num>
  <w:num w:numId="63">
    <w:abstractNumId w:val="22"/>
  </w:num>
  <w:num w:numId="64">
    <w:abstractNumId w:val="54"/>
  </w:num>
  <w:num w:numId="65">
    <w:abstractNumId w:val="66"/>
  </w:num>
  <w:num w:numId="66">
    <w:abstractNumId w:val="56"/>
  </w:num>
  <w:num w:numId="67">
    <w:abstractNumId w:val="40"/>
  </w:num>
  <w:num w:numId="68">
    <w:abstractNumId w:val="50"/>
  </w:num>
  <w:num w:numId="69">
    <w:abstractNumId w:val="42"/>
  </w:num>
  <w:num w:numId="70">
    <w:abstractNumId w:val="9"/>
  </w:num>
  <w:num w:numId="71">
    <w:abstractNumId w:val="72"/>
  </w:num>
  <w:num w:numId="72">
    <w:abstractNumId w:val="4"/>
  </w:num>
  <w:num w:numId="73">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doNotTrackFormatting/>
  <w:defaultTabStop w:val="1296"/>
  <w:hyphenationZone w:val="396"/>
  <w:drawingGridHorizontalSpacing w:val="100"/>
  <w:displayHorizontalDrawingGridEvery w:val="2"/>
  <w:characterSpacingControl w:val="doNotCompress"/>
  <w:hdrShapeDefaults>
    <o:shapedefaults v:ext="edit" spidmax="4097"/>
  </w:hdrShapeDefaults>
  <w:footnotePr>
    <w:numStart w:val="2"/>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43"/>
    <w:rsid w:val="000005FD"/>
    <w:rsid w:val="00001345"/>
    <w:rsid w:val="00001508"/>
    <w:rsid w:val="00001B3E"/>
    <w:rsid w:val="00001B4F"/>
    <w:rsid w:val="00001D3C"/>
    <w:rsid w:val="00002744"/>
    <w:rsid w:val="000027C3"/>
    <w:rsid w:val="00002FD5"/>
    <w:rsid w:val="00003565"/>
    <w:rsid w:val="000035B9"/>
    <w:rsid w:val="00003750"/>
    <w:rsid w:val="00003B84"/>
    <w:rsid w:val="00003ED7"/>
    <w:rsid w:val="000053B4"/>
    <w:rsid w:val="000058C7"/>
    <w:rsid w:val="00005BAD"/>
    <w:rsid w:val="00005FA3"/>
    <w:rsid w:val="00006022"/>
    <w:rsid w:val="00006A72"/>
    <w:rsid w:val="00007CE8"/>
    <w:rsid w:val="00007D60"/>
    <w:rsid w:val="00010317"/>
    <w:rsid w:val="00010560"/>
    <w:rsid w:val="00011714"/>
    <w:rsid w:val="00011850"/>
    <w:rsid w:val="00011B7C"/>
    <w:rsid w:val="00012012"/>
    <w:rsid w:val="00012D4B"/>
    <w:rsid w:val="000133B9"/>
    <w:rsid w:val="00014042"/>
    <w:rsid w:val="00014305"/>
    <w:rsid w:val="00014CA9"/>
    <w:rsid w:val="00014D2E"/>
    <w:rsid w:val="000161A6"/>
    <w:rsid w:val="000162F3"/>
    <w:rsid w:val="000165E0"/>
    <w:rsid w:val="000205D4"/>
    <w:rsid w:val="000206E0"/>
    <w:rsid w:val="00020E4E"/>
    <w:rsid w:val="00021D6C"/>
    <w:rsid w:val="00022571"/>
    <w:rsid w:val="00022A9E"/>
    <w:rsid w:val="00022CA9"/>
    <w:rsid w:val="00022D9D"/>
    <w:rsid w:val="00023170"/>
    <w:rsid w:val="000235CA"/>
    <w:rsid w:val="000239F0"/>
    <w:rsid w:val="000239F9"/>
    <w:rsid w:val="00023D7B"/>
    <w:rsid w:val="00023F07"/>
    <w:rsid w:val="000250BF"/>
    <w:rsid w:val="00025425"/>
    <w:rsid w:val="000256A6"/>
    <w:rsid w:val="00025A9C"/>
    <w:rsid w:val="00025B0B"/>
    <w:rsid w:val="00025B72"/>
    <w:rsid w:val="00026BD5"/>
    <w:rsid w:val="000279ED"/>
    <w:rsid w:val="00027D76"/>
    <w:rsid w:val="000301C8"/>
    <w:rsid w:val="00030229"/>
    <w:rsid w:val="00030B07"/>
    <w:rsid w:val="000310F0"/>
    <w:rsid w:val="0003250F"/>
    <w:rsid w:val="00032851"/>
    <w:rsid w:val="000329EB"/>
    <w:rsid w:val="00033A86"/>
    <w:rsid w:val="0003446E"/>
    <w:rsid w:val="000346F2"/>
    <w:rsid w:val="00034B7B"/>
    <w:rsid w:val="00035B21"/>
    <w:rsid w:val="00035D97"/>
    <w:rsid w:val="00035E9D"/>
    <w:rsid w:val="000360C2"/>
    <w:rsid w:val="000360D8"/>
    <w:rsid w:val="00036136"/>
    <w:rsid w:val="00036574"/>
    <w:rsid w:val="00037EDC"/>
    <w:rsid w:val="00041A29"/>
    <w:rsid w:val="00041DA7"/>
    <w:rsid w:val="00042FEB"/>
    <w:rsid w:val="000434E2"/>
    <w:rsid w:val="000450AC"/>
    <w:rsid w:val="000452CA"/>
    <w:rsid w:val="0004531E"/>
    <w:rsid w:val="00045A94"/>
    <w:rsid w:val="00047060"/>
    <w:rsid w:val="00047398"/>
    <w:rsid w:val="0004753F"/>
    <w:rsid w:val="0005095F"/>
    <w:rsid w:val="00050C4F"/>
    <w:rsid w:val="00051342"/>
    <w:rsid w:val="00052752"/>
    <w:rsid w:val="00052946"/>
    <w:rsid w:val="00052BE9"/>
    <w:rsid w:val="00053F2E"/>
    <w:rsid w:val="00054AC1"/>
    <w:rsid w:val="000550CD"/>
    <w:rsid w:val="0005564C"/>
    <w:rsid w:val="00056EA0"/>
    <w:rsid w:val="00057019"/>
    <w:rsid w:val="000574F7"/>
    <w:rsid w:val="00057690"/>
    <w:rsid w:val="00057A46"/>
    <w:rsid w:val="00060A42"/>
    <w:rsid w:val="00060CBD"/>
    <w:rsid w:val="00060D3E"/>
    <w:rsid w:val="000610B5"/>
    <w:rsid w:val="00061A76"/>
    <w:rsid w:val="000620A1"/>
    <w:rsid w:val="00062654"/>
    <w:rsid w:val="000629E1"/>
    <w:rsid w:val="000633EE"/>
    <w:rsid w:val="00063609"/>
    <w:rsid w:val="00063978"/>
    <w:rsid w:val="00063F5A"/>
    <w:rsid w:val="00064A3B"/>
    <w:rsid w:val="00064D4D"/>
    <w:rsid w:val="00065254"/>
    <w:rsid w:val="00065565"/>
    <w:rsid w:val="00065B09"/>
    <w:rsid w:val="00065C72"/>
    <w:rsid w:val="00065FA1"/>
    <w:rsid w:val="000660BE"/>
    <w:rsid w:val="000662BE"/>
    <w:rsid w:val="00066E2F"/>
    <w:rsid w:val="00067076"/>
    <w:rsid w:val="00067C34"/>
    <w:rsid w:val="00070825"/>
    <w:rsid w:val="000721A2"/>
    <w:rsid w:val="000722D5"/>
    <w:rsid w:val="00072513"/>
    <w:rsid w:val="00072554"/>
    <w:rsid w:val="00072B88"/>
    <w:rsid w:val="00072CE6"/>
    <w:rsid w:val="00072DCB"/>
    <w:rsid w:val="000731A6"/>
    <w:rsid w:val="0007322B"/>
    <w:rsid w:val="00073BB1"/>
    <w:rsid w:val="000750EE"/>
    <w:rsid w:val="00076955"/>
    <w:rsid w:val="00077286"/>
    <w:rsid w:val="000802DC"/>
    <w:rsid w:val="000804C8"/>
    <w:rsid w:val="000806A4"/>
    <w:rsid w:val="00080F13"/>
    <w:rsid w:val="0008162F"/>
    <w:rsid w:val="00081C10"/>
    <w:rsid w:val="00082320"/>
    <w:rsid w:val="000825D1"/>
    <w:rsid w:val="000829C0"/>
    <w:rsid w:val="00082AA0"/>
    <w:rsid w:val="00082B97"/>
    <w:rsid w:val="000830D9"/>
    <w:rsid w:val="000833FE"/>
    <w:rsid w:val="00083591"/>
    <w:rsid w:val="00083CA8"/>
    <w:rsid w:val="000841E0"/>
    <w:rsid w:val="00084A1C"/>
    <w:rsid w:val="00084B00"/>
    <w:rsid w:val="0008571E"/>
    <w:rsid w:val="000859A0"/>
    <w:rsid w:val="00085A10"/>
    <w:rsid w:val="00085B53"/>
    <w:rsid w:val="00085BB9"/>
    <w:rsid w:val="00085EBD"/>
    <w:rsid w:val="00086385"/>
    <w:rsid w:val="000865B6"/>
    <w:rsid w:val="000868E0"/>
    <w:rsid w:val="00086D31"/>
    <w:rsid w:val="0008706D"/>
    <w:rsid w:val="0008786C"/>
    <w:rsid w:val="00087F06"/>
    <w:rsid w:val="00090043"/>
    <w:rsid w:val="00090972"/>
    <w:rsid w:val="00090D05"/>
    <w:rsid w:val="0009155B"/>
    <w:rsid w:val="00091583"/>
    <w:rsid w:val="0009196A"/>
    <w:rsid w:val="000932F8"/>
    <w:rsid w:val="000934D8"/>
    <w:rsid w:val="0009359E"/>
    <w:rsid w:val="000938D8"/>
    <w:rsid w:val="00094860"/>
    <w:rsid w:val="00094D8A"/>
    <w:rsid w:val="0009598B"/>
    <w:rsid w:val="00095E98"/>
    <w:rsid w:val="00096BD9"/>
    <w:rsid w:val="00096CBD"/>
    <w:rsid w:val="000A08AB"/>
    <w:rsid w:val="000A0E05"/>
    <w:rsid w:val="000A1248"/>
    <w:rsid w:val="000A1379"/>
    <w:rsid w:val="000A151F"/>
    <w:rsid w:val="000A1CC5"/>
    <w:rsid w:val="000A2BB2"/>
    <w:rsid w:val="000A31A6"/>
    <w:rsid w:val="000A3296"/>
    <w:rsid w:val="000A3A91"/>
    <w:rsid w:val="000A3D77"/>
    <w:rsid w:val="000A3FF7"/>
    <w:rsid w:val="000A40BC"/>
    <w:rsid w:val="000A40EF"/>
    <w:rsid w:val="000A4407"/>
    <w:rsid w:val="000A5020"/>
    <w:rsid w:val="000A54EB"/>
    <w:rsid w:val="000A5F48"/>
    <w:rsid w:val="000A6475"/>
    <w:rsid w:val="000A6519"/>
    <w:rsid w:val="000A664C"/>
    <w:rsid w:val="000A6AFC"/>
    <w:rsid w:val="000A7301"/>
    <w:rsid w:val="000A7A89"/>
    <w:rsid w:val="000B0309"/>
    <w:rsid w:val="000B0EE4"/>
    <w:rsid w:val="000B1911"/>
    <w:rsid w:val="000B2041"/>
    <w:rsid w:val="000B20F9"/>
    <w:rsid w:val="000B218E"/>
    <w:rsid w:val="000B2A7E"/>
    <w:rsid w:val="000B34CD"/>
    <w:rsid w:val="000B4706"/>
    <w:rsid w:val="000B4806"/>
    <w:rsid w:val="000B5176"/>
    <w:rsid w:val="000B593C"/>
    <w:rsid w:val="000B59E9"/>
    <w:rsid w:val="000B5CC6"/>
    <w:rsid w:val="000B6116"/>
    <w:rsid w:val="000B686D"/>
    <w:rsid w:val="000B6891"/>
    <w:rsid w:val="000B6ADA"/>
    <w:rsid w:val="000B6F82"/>
    <w:rsid w:val="000B7294"/>
    <w:rsid w:val="000B75C9"/>
    <w:rsid w:val="000B7711"/>
    <w:rsid w:val="000B7B59"/>
    <w:rsid w:val="000C0072"/>
    <w:rsid w:val="000C0742"/>
    <w:rsid w:val="000C34A6"/>
    <w:rsid w:val="000C4E84"/>
    <w:rsid w:val="000C5178"/>
    <w:rsid w:val="000C54A7"/>
    <w:rsid w:val="000C5602"/>
    <w:rsid w:val="000C61F5"/>
    <w:rsid w:val="000C638F"/>
    <w:rsid w:val="000C65D7"/>
    <w:rsid w:val="000C6C4F"/>
    <w:rsid w:val="000C6DB8"/>
    <w:rsid w:val="000C787A"/>
    <w:rsid w:val="000C7A04"/>
    <w:rsid w:val="000C7E84"/>
    <w:rsid w:val="000D066B"/>
    <w:rsid w:val="000D120E"/>
    <w:rsid w:val="000D2337"/>
    <w:rsid w:val="000D312D"/>
    <w:rsid w:val="000D3219"/>
    <w:rsid w:val="000D33DA"/>
    <w:rsid w:val="000D34CE"/>
    <w:rsid w:val="000D43B1"/>
    <w:rsid w:val="000D4F38"/>
    <w:rsid w:val="000D562C"/>
    <w:rsid w:val="000D6851"/>
    <w:rsid w:val="000D6C8D"/>
    <w:rsid w:val="000D6CC0"/>
    <w:rsid w:val="000D71B7"/>
    <w:rsid w:val="000D757F"/>
    <w:rsid w:val="000D7894"/>
    <w:rsid w:val="000D7897"/>
    <w:rsid w:val="000D7CD0"/>
    <w:rsid w:val="000D7E09"/>
    <w:rsid w:val="000E11B9"/>
    <w:rsid w:val="000E273E"/>
    <w:rsid w:val="000E2AE9"/>
    <w:rsid w:val="000E36A7"/>
    <w:rsid w:val="000E37B8"/>
    <w:rsid w:val="000E393D"/>
    <w:rsid w:val="000E4748"/>
    <w:rsid w:val="000E5BD2"/>
    <w:rsid w:val="000E7CCB"/>
    <w:rsid w:val="000E7D32"/>
    <w:rsid w:val="000F0C10"/>
    <w:rsid w:val="000F0D77"/>
    <w:rsid w:val="000F0E51"/>
    <w:rsid w:val="000F1047"/>
    <w:rsid w:val="000F119E"/>
    <w:rsid w:val="000F1729"/>
    <w:rsid w:val="000F18E1"/>
    <w:rsid w:val="000F1923"/>
    <w:rsid w:val="000F19CA"/>
    <w:rsid w:val="000F2017"/>
    <w:rsid w:val="000F3414"/>
    <w:rsid w:val="000F35EB"/>
    <w:rsid w:val="000F40BD"/>
    <w:rsid w:val="000F5AE9"/>
    <w:rsid w:val="000F6534"/>
    <w:rsid w:val="000F653A"/>
    <w:rsid w:val="000F6604"/>
    <w:rsid w:val="000F6A74"/>
    <w:rsid w:val="000F73F3"/>
    <w:rsid w:val="000F7EB0"/>
    <w:rsid w:val="00100EA7"/>
    <w:rsid w:val="00101170"/>
    <w:rsid w:val="001018D6"/>
    <w:rsid w:val="00101D3A"/>
    <w:rsid w:val="00101E1E"/>
    <w:rsid w:val="00101ECA"/>
    <w:rsid w:val="001022B4"/>
    <w:rsid w:val="001025D7"/>
    <w:rsid w:val="00103226"/>
    <w:rsid w:val="0010480F"/>
    <w:rsid w:val="00105E6A"/>
    <w:rsid w:val="00106932"/>
    <w:rsid w:val="00110108"/>
    <w:rsid w:val="001109C7"/>
    <w:rsid w:val="00110B6C"/>
    <w:rsid w:val="00110E1B"/>
    <w:rsid w:val="00110E56"/>
    <w:rsid w:val="00111410"/>
    <w:rsid w:val="00111C47"/>
    <w:rsid w:val="00112014"/>
    <w:rsid w:val="00112036"/>
    <w:rsid w:val="00112788"/>
    <w:rsid w:val="00112AA9"/>
    <w:rsid w:val="00112EB9"/>
    <w:rsid w:val="00114141"/>
    <w:rsid w:val="001149A2"/>
    <w:rsid w:val="00114EAB"/>
    <w:rsid w:val="001158F9"/>
    <w:rsid w:val="00116520"/>
    <w:rsid w:val="00116B1E"/>
    <w:rsid w:val="00117874"/>
    <w:rsid w:val="00120277"/>
    <w:rsid w:val="001208AD"/>
    <w:rsid w:val="00120988"/>
    <w:rsid w:val="00121427"/>
    <w:rsid w:val="00121AAD"/>
    <w:rsid w:val="00122537"/>
    <w:rsid w:val="001226BD"/>
    <w:rsid w:val="00122926"/>
    <w:rsid w:val="00123526"/>
    <w:rsid w:val="00124050"/>
    <w:rsid w:val="00124D81"/>
    <w:rsid w:val="0012571F"/>
    <w:rsid w:val="001263D5"/>
    <w:rsid w:val="0012689F"/>
    <w:rsid w:val="00126B78"/>
    <w:rsid w:val="0012701C"/>
    <w:rsid w:val="0012765E"/>
    <w:rsid w:val="00127A45"/>
    <w:rsid w:val="00127BA9"/>
    <w:rsid w:val="001302C7"/>
    <w:rsid w:val="0013062C"/>
    <w:rsid w:val="00130FD5"/>
    <w:rsid w:val="001315E2"/>
    <w:rsid w:val="0013180E"/>
    <w:rsid w:val="00131951"/>
    <w:rsid w:val="00132569"/>
    <w:rsid w:val="001325A0"/>
    <w:rsid w:val="001329D9"/>
    <w:rsid w:val="00132F65"/>
    <w:rsid w:val="001336C4"/>
    <w:rsid w:val="00133F21"/>
    <w:rsid w:val="00134580"/>
    <w:rsid w:val="001346A6"/>
    <w:rsid w:val="0013505A"/>
    <w:rsid w:val="001353F1"/>
    <w:rsid w:val="00136280"/>
    <w:rsid w:val="00136811"/>
    <w:rsid w:val="00136B47"/>
    <w:rsid w:val="0013722F"/>
    <w:rsid w:val="00137468"/>
    <w:rsid w:val="00137996"/>
    <w:rsid w:val="00140AE0"/>
    <w:rsid w:val="001412D6"/>
    <w:rsid w:val="001415A3"/>
    <w:rsid w:val="001415A8"/>
    <w:rsid w:val="001419E3"/>
    <w:rsid w:val="001424B2"/>
    <w:rsid w:val="001430A7"/>
    <w:rsid w:val="00143C23"/>
    <w:rsid w:val="001448D6"/>
    <w:rsid w:val="00145FD4"/>
    <w:rsid w:val="001462F8"/>
    <w:rsid w:val="0014665D"/>
    <w:rsid w:val="001474B2"/>
    <w:rsid w:val="00147F06"/>
    <w:rsid w:val="0015074A"/>
    <w:rsid w:val="00151242"/>
    <w:rsid w:val="001513FD"/>
    <w:rsid w:val="00151C0D"/>
    <w:rsid w:val="001523F5"/>
    <w:rsid w:val="001526FC"/>
    <w:rsid w:val="0015346E"/>
    <w:rsid w:val="00155B61"/>
    <w:rsid w:val="001563FC"/>
    <w:rsid w:val="001568D8"/>
    <w:rsid w:val="0016091A"/>
    <w:rsid w:val="00160BDC"/>
    <w:rsid w:val="001610FF"/>
    <w:rsid w:val="00161B55"/>
    <w:rsid w:val="00162970"/>
    <w:rsid w:val="00162A49"/>
    <w:rsid w:val="001635EE"/>
    <w:rsid w:val="0016372F"/>
    <w:rsid w:val="001639A2"/>
    <w:rsid w:val="00163D19"/>
    <w:rsid w:val="001640B4"/>
    <w:rsid w:val="001642AC"/>
    <w:rsid w:val="00165D2D"/>
    <w:rsid w:val="001669E5"/>
    <w:rsid w:val="00166D68"/>
    <w:rsid w:val="00170260"/>
    <w:rsid w:val="001704E8"/>
    <w:rsid w:val="00170FF2"/>
    <w:rsid w:val="001712CC"/>
    <w:rsid w:val="0017154D"/>
    <w:rsid w:val="00171E98"/>
    <w:rsid w:val="00172038"/>
    <w:rsid w:val="001721EA"/>
    <w:rsid w:val="00172885"/>
    <w:rsid w:val="00172AA1"/>
    <w:rsid w:val="00172E2C"/>
    <w:rsid w:val="001736F1"/>
    <w:rsid w:val="00173C27"/>
    <w:rsid w:val="00174357"/>
    <w:rsid w:val="00175CF2"/>
    <w:rsid w:val="00175E10"/>
    <w:rsid w:val="00176BF6"/>
    <w:rsid w:val="0017797F"/>
    <w:rsid w:val="00177D32"/>
    <w:rsid w:val="00177E71"/>
    <w:rsid w:val="00180329"/>
    <w:rsid w:val="00180364"/>
    <w:rsid w:val="00180BEA"/>
    <w:rsid w:val="00180F99"/>
    <w:rsid w:val="00181618"/>
    <w:rsid w:val="00182305"/>
    <w:rsid w:val="001827A1"/>
    <w:rsid w:val="00182846"/>
    <w:rsid w:val="00182AF9"/>
    <w:rsid w:val="001840E9"/>
    <w:rsid w:val="00184AE3"/>
    <w:rsid w:val="00185CB1"/>
    <w:rsid w:val="00186348"/>
    <w:rsid w:val="00186482"/>
    <w:rsid w:val="00190DA1"/>
    <w:rsid w:val="00190E71"/>
    <w:rsid w:val="00191FEF"/>
    <w:rsid w:val="00192179"/>
    <w:rsid w:val="00192419"/>
    <w:rsid w:val="00192E64"/>
    <w:rsid w:val="00193041"/>
    <w:rsid w:val="0019307C"/>
    <w:rsid w:val="00193949"/>
    <w:rsid w:val="00193C83"/>
    <w:rsid w:val="00194029"/>
    <w:rsid w:val="00194BF9"/>
    <w:rsid w:val="00195156"/>
    <w:rsid w:val="0019560D"/>
    <w:rsid w:val="0019599C"/>
    <w:rsid w:val="0019668C"/>
    <w:rsid w:val="00196F45"/>
    <w:rsid w:val="00197614"/>
    <w:rsid w:val="001A1AD1"/>
    <w:rsid w:val="001A1D35"/>
    <w:rsid w:val="001A1E38"/>
    <w:rsid w:val="001A2390"/>
    <w:rsid w:val="001A2B9A"/>
    <w:rsid w:val="001A3023"/>
    <w:rsid w:val="001A35DD"/>
    <w:rsid w:val="001A3DE6"/>
    <w:rsid w:val="001A430B"/>
    <w:rsid w:val="001A437E"/>
    <w:rsid w:val="001A6CFF"/>
    <w:rsid w:val="001A76F1"/>
    <w:rsid w:val="001A7B19"/>
    <w:rsid w:val="001B1AEE"/>
    <w:rsid w:val="001B1EFF"/>
    <w:rsid w:val="001B240C"/>
    <w:rsid w:val="001B3593"/>
    <w:rsid w:val="001B3F9D"/>
    <w:rsid w:val="001B47E3"/>
    <w:rsid w:val="001B4CD3"/>
    <w:rsid w:val="001B5358"/>
    <w:rsid w:val="001B572F"/>
    <w:rsid w:val="001B6E6F"/>
    <w:rsid w:val="001B7301"/>
    <w:rsid w:val="001C0743"/>
    <w:rsid w:val="001C115D"/>
    <w:rsid w:val="001C1B63"/>
    <w:rsid w:val="001C1E06"/>
    <w:rsid w:val="001C22E1"/>
    <w:rsid w:val="001C2462"/>
    <w:rsid w:val="001C2D97"/>
    <w:rsid w:val="001C2FB6"/>
    <w:rsid w:val="001C3047"/>
    <w:rsid w:val="001C341B"/>
    <w:rsid w:val="001C3564"/>
    <w:rsid w:val="001C4222"/>
    <w:rsid w:val="001C4700"/>
    <w:rsid w:val="001C4E97"/>
    <w:rsid w:val="001C600A"/>
    <w:rsid w:val="001C6255"/>
    <w:rsid w:val="001C694B"/>
    <w:rsid w:val="001C6B65"/>
    <w:rsid w:val="001D0D73"/>
    <w:rsid w:val="001D0FC3"/>
    <w:rsid w:val="001D16F2"/>
    <w:rsid w:val="001D2AAF"/>
    <w:rsid w:val="001D40EB"/>
    <w:rsid w:val="001D4B86"/>
    <w:rsid w:val="001D4FF9"/>
    <w:rsid w:val="001D526B"/>
    <w:rsid w:val="001D54D6"/>
    <w:rsid w:val="001D595D"/>
    <w:rsid w:val="001D5C38"/>
    <w:rsid w:val="001D60EE"/>
    <w:rsid w:val="001D648D"/>
    <w:rsid w:val="001D75AC"/>
    <w:rsid w:val="001D7CD5"/>
    <w:rsid w:val="001D7DFA"/>
    <w:rsid w:val="001E0175"/>
    <w:rsid w:val="001E044D"/>
    <w:rsid w:val="001E14FF"/>
    <w:rsid w:val="001E151C"/>
    <w:rsid w:val="001E19D9"/>
    <w:rsid w:val="001E1DA7"/>
    <w:rsid w:val="001E2053"/>
    <w:rsid w:val="001E304C"/>
    <w:rsid w:val="001E36F6"/>
    <w:rsid w:val="001E38DF"/>
    <w:rsid w:val="001E41A1"/>
    <w:rsid w:val="001E4321"/>
    <w:rsid w:val="001E4525"/>
    <w:rsid w:val="001E4E27"/>
    <w:rsid w:val="001E4F19"/>
    <w:rsid w:val="001E51F2"/>
    <w:rsid w:val="001E68C8"/>
    <w:rsid w:val="001E781C"/>
    <w:rsid w:val="001E7F64"/>
    <w:rsid w:val="001F04DE"/>
    <w:rsid w:val="001F05D9"/>
    <w:rsid w:val="001F06C0"/>
    <w:rsid w:val="001F1F7C"/>
    <w:rsid w:val="001F2E60"/>
    <w:rsid w:val="001F3B6F"/>
    <w:rsid w:val="001F4238"/>
    <w:rsid w:val="001F4668"/>
    <w:rsid w:val="001F49DA"/>
    <w:rsid w:val="001F5789"/>
    <w:rsid w:val="001F5AD0"/>
    <w:rsid w:val="001F5D90"/>
    <w:rsid w:val="001F661F"/>
    <w:rsid w:val="001F6BDB"/>
    <w:rsid w:val="001F6FD8"/>
    <w:rsid w:val="001F770C"/>
    <w:rsid w:val="001F7A8E"/>
    <w:rsid w:val="001F7A93"/>
    <w:rsid w:val="002010FE"/>
    <w:rsid w:val="002013D1"/>
    <w:rsid w:val="00201BC9"/>
    <w:rsid w:val="00201EDF"/>
    <w:rsid w:val="00202799"/>
    <w:rsid w:val="00202C81"/>
    <w:rsid w:val="00202EF3"/>
    <w:rsid w:val="0020316C"/>
    <w:rsid w:val="0020355F"/>
    <w:rsid w:val="00204191"/>
    <w:rsid w:val="00204A8F"/>
    <w:rsid w:val="00204E5D"/>
    <w:rsid w:val="00204FE8"/>
    <w:rsid w:val="00205A02"/>
    <w:rsid w:val="00206715"/>
    <w:rsid w:val="002068E6"/>
    <w:rsid w:val="00206CF9"/>
    <w:rsid w:val="00206DC3"/>
    <w:rsid w:val="00206EF6"/>
    <w:rsid w:val="00210573"/>
    <w:rsid w:val="00210746"/>
    <w:rsid w:val="00211057"/>
    <w:rsid w:val="002112B7"/>
    <w:rsid w:val="00212269"/>
    <w:rsid w:val="00213D85"/>
    <w:rsid w:val="00215064"/>
    <w:rsid w:val="00215A65"/>
    <w:rsid w:val="00215D23"/>
    <w:rsid w:val="00216839"/>
    <w:rsid w:val="00216C09"/>
    <w:rsid w:val="00217F0E"/>
    <w:rsid w:val="0022009B"/>
    <w:rsid w:val="00220C2C"/>
    <w:rsid w:val="00220C4F"/>
    <w:rsid w:val="00220EA1"/>
    <w:rsid w:val="00221096"/>
    <w:rsid w:val="0022141F"/>
    <w:rsid w:val="002220C3"/>
    <w:rsid w:val="0022217B"/>
    <w:rsid w:val="0022273F"/>
    <w:rsid w:val="00222C38"/>
    <w:rsid w:val="00222EA4"/>
    <w:rsid w:val="002236FD"/>
    <w:rsid w:val="002239B6"/>
    <w:rsid w:val="00224145"/>
    <w:rsid w:val="00224FA8"/>
    <w:rsid w:val="002254C9"/>
    <w:rsid w:val="00225CAF"/>
    <w:rsid w:val="002272E0"/>
    <w:rsid w:val="00227A18"/>
    <w:rsid w:val="0023112F"/>
    <w:rsid w:val="002311D8"/>
    <w:rsid w:val="00231370"/>
    <w:rsid w:val="00231758"/>
    <w:rsid w:val="00231E51"/>
    <w:rsid w:val="00232369"/>
    <w:rsid w:val="002324EB"/>
    <w:rsid w:val="0023273A"/>
    <w:rsid w:val="00232A9E"/>
    <w:rsid w:val="0023302F"/>
    <w:rsid w:val="00233231"/>
    <w:rsid w:val="00234535"/>
    <w:rsid w:val="00234636"/>
    <w:rsid w:val="00234A31"/>
    <w:rsid w:val="00235A34"/>
    <w:rsid w:val="00236569"/>
    <w:rsid w:val="00236A6F"/>
    <w:rsid w:val="00236F87"/>
    <w:rsid w:val="002370B7"/>
    <w:rsid w:val="0023759B"/>
    <w:rsid w:val="00237E06"/>
    <w:rsid w:val="00237FBF"/>
    <w:rsid w:val="00240A98"/>
    <w:rsid w:val="00241882"/>
    <w:rsid w:val="00241D33"/>
    <w:rsid w:val="0024213A"/>
    <w:rsid w:val="00242170"/>
    <w:rsid w:val="00242183"/>
    <w:rsid w:val="00243528"/>
    <w:rsid w:val="0024359A"/>
    <w:rsid w:val="0024389B"/>
    <w:rsid w:val="00243EE5"/>
    <w:rsid w:val="00245CE5"/>
    <w:rsid w:val="00245F71"/>
    <w:rsid w:val="00246127"/>
    <w:rsid w:val="00246A0A"/>
    <w:rsid w:val="0025121D"/>
    <w:rsid w:val="002521BA"/>
    <w:rsid w:val="002524BC"/>
    <w:rsid w:val="00252E22"/>
    <w:rsid w:val="00253032"/>
    <w:rsid w:val="00253D68"/>
    <w:rsid w:val="00255754"/>
    <w:rsid w:val="00255EFB"/>
    <w:rsid w:val="00255FBF"/>
    <w:rsid w:val="00256510"/>
    <w:rsid w:val="00257217"/>
    <w:rsid w:val="00257371"/>
    <w:rsid w:val="00257472"/>
    <w:rsid w:val="002578B6"/>
    <w:rsid w:val="00257A01"/>
    <w:rsid w:val="002609E8"/>
    <w:rsid w:val="002619BB"/>
    <w:rsid w:val="002621E1"/>
    <w:rsid w:val="002628EF"/>
    <w:rsid w:val="0026519F"/>
    <w:rsid w:val="002658EE"/>
    <w:rsid w:val="00265AA3"/>
    <w:rsid w:val="002662B2"/>
    <w:rsid w:val="00266732"/>
    <w:rsid w:val="00266C1D"/>
    <w:rsid w:val="00267190"/>
    <w:rsid w:val="0026774B"/>
    <w:rsid w:val="00270141"/>
    <w:rsid w:val="00270CD2"/>
    <w:rsid w:val="00270D05"/>
    <w:rsid w:val="00271407"/>
    <w:rsid w:val="00271A96"/>
    <w:rsid w:val="002729BE"/>
    <w:rsid w:val="00273DAB"/>
    <w:rsid w:val="00274404"/>
    <w:rsid w:val="002744BE"/>
    <w:rsid w:val="00274A8A"/>
    <w:rsid w:val="0027593A"/>
    <w:rsid w:val="00276353"/>
    <w:rsid w:val="00276534"/>
    <w:rsid w:val="00276593"/>
    <w:rsid w:val="0027661B"/>
    <w:rsid w:val="00277FDC"/>
    <w:rsid w:val="0028049B"/>
    <w:rsid w:val="00280BB0"/>
    <w:rsid w:val="00280F07"/>
    <w:rsid w:val="0028122F"/>
    <w:rsid w:val="00281B7C"/>
    <w:rsid w:val="00282A2A"/>
    <w:rsid w:val="0028511F"/>
    <w:rsid w:val="00285689"/>
    <w:rsid w:val="0028608C"/>
    <w:rsid w:val="002867AB"/>
    <w:rsid w:val="00286D45"/>
    <w:rsid w:val="0029098A"/>
    <w:rsid w:val="00290ED6"/>
    <w:rsid w:val="002919BB"/>
    <w:rsid w:val="0029266B"/>
    <w:rsid w:val="00294473"/>
    <w:rsid w:val="002945A7"/>
    <w:rsid w:val="00294AB2"/>
    <w:rsid w:val="00295253"/>
    <w:rsid w:val="002957DF"/>
    <w:rsid w:val="00295D8B"/>
    <w:rsid w:val="00296588"/>
    <w:rsid w:val="0029663D"/>
    <w:rsid w:val="002968CA"/>
    <w:rsid w:val="0029708F"/>
    <w:rsid w:val="002974F2"/>
    <w:rsid w:val="0029784D"/>
    <w:rsid w:val="0029787B"/>
    <w:rsid w:val="00297EC5"/>
    <w:rsid w:val="002A0863"/>
    <w:rsid w:val="002A0B52"/>
    <w:rsid w:val="002A0B65"/>
    <w:rsid w:val="002A13FB"/>
    <w:rsid w:val="002A1EA2"/>
    <w:rsid w:val="002A3235"/>
    <w:rsid w:val="002A3A1D"/>
    <w:rsid w:val="002A3B61"/>
    <w:rsid w:val="002A3CC1"/>
    <w:rsid w:val="002A3CFE"/>
    <w:rsid w:val="002A47EB"/>
    <w:rsid w:val="002A4A6C"/>
    <w:rsid w:val="002A4E05"/>
    <w:rsid w:val="002A4ECC"/>
    <w:rsid w:val="002A521E"/>
    <w:rsid w:val="002A540E"/>
    <w:rsid w:val="002A6D3C"/>
    <w:rsid w:val="002A7068"/>
    <w:rsid w:val="002B0839"/>
    <w:rsid w:val="002B0E94"/>
    <w:rsid w:val="002B10D9"/>
    <w:rsid w:val="002B13F9"/>
    <w:rsid w:val="002B14AE"/>
    <w:rsid w:val="002B1965"/>
    <w:rsid w:val="002B1A5F"/>
    <w:rsid w:val="002B25BD"/>
    <w:rsid w:val="002B2D52"/>
    <w:rsid w:val="002B2FA0"/>
    <w:rsid w:val="002B37E3"/>
    <w:rsid w:val="002B4756"/>
    <w:rsid w:val="002B486F"/>
    <w:rsid w:val="002B54D0"/>
    <w:rsid w:val="002B5673"/>
    <w:rsid w:val="002B588E"/>
    <w:rsid w:val="002B5F53"/>
    <w:rsid w:val="002B6B7A"/>
    <w:rsid w:val="002B6C03"/>
    <w:rsid w:val="002B6FAA"/>
    <w:rsid w:val="002B7B41"/>
    <w:rsid w:val="002B7B4C"/>
    <w:rsid w:val="002C0278"/>
    <w:rsid w:val="002C09C5"/>
    <w:rsid w:val="002C0D4D"/>
    <w:rsid w:val="002C0E5C"/>
    <w:rsid w:val="002C0FB6"/>
    <w:rsid w:val="002C1444"/>
    <w:rsid w:val="002C1816"/>
    <w:rsid w:val="002C1EAA"/>
    <w:rsid w:val="002C2029"/>
    <w:rsid w:val="002C2209"/>
    <w:rsid w:val="002C2229"/>
    <w:rsid w:val="002C23FD"/>
    <w:rsid w:val="002C2D69"/>
    <w:rsid w:val="002C3CF9"/>
    <w:rsid w:val="002C4419"/>
    <w:rsid w:val="002C4CF1"/>
    <w:rsid w:val="002C4D84"/>
    <w:rsid w:val="002C515B"/>
    <w:rsid w:val="002C5420"/>
    <w:rsid w:val="002C5820"/>
    <w:rsid w:val="002C6996"/>
    <w:rsid w:val="002C7641"/>
    <w:rsid w:val="002C76D5"/>
    <w:rsid w:val="002C78FB"/>
    <w:rsid w:val="002C7CB2"/>
    <w:rsid w:val="002D0568"/>
    <w:rsid w:val="002D073B"/>
    <w:rsid w:val="002D177C"/>
    <w:rsid w:val="002D1DB4"/>
    <w:rsid w:val="002D2A86"/>
    <w:rsid w:val="002D4B92"/>
    <w:rsid w:val="002D5DB0"/>
    <w:rsid w:val="002D5E3E"/>
    <w:rsid w:val="002D5F07"/>
    <w:rsid w:val="002D675E"/>
    <w:rsid w:val="002D678D"/>
    <w:rsid w:val="002D6CAB"/>
    <w:rsid w:val="002D6E41"/>
    <w:rsid w:val="002D704A"/>
    <w:rsid w:val="002D7A07"/>
    <w:rsid w:val="002E177E"/>
    <w:rsid w:val="002E1F9B"/>
    <w:rsid w:val="002E2A5E"/>
    <w:rsid w:val="002E2ECF"/>
    <w:rsid w:val="002E2F67"/>
    <w:rsid w:val="002E346E"/>
    <w:rsid w:val="002E4E87"/>
    <w:rsid w:val="002E5AA9"/>
    <w:rsid w:val="002E6491"/>
    <w:rsid w:val="002E6EE0"/>
    <w:rsid w:val="002E71B6"/>
    <w:rsid w:val="002E7FC3"/>
    <w:rsid w:val="002F0416"/>
    <w:rsid w:val="002F272C"/>
    <w:rsid w:val="002F2886"/>
    <w:rsid w:val="002F3229"/>
    <w:rsid w:val="002F3510"/>
    <w:rsid w:val="002F4367"/>
    <w:rsid w:val="002F4450"/>
    <w:rsid w:val="002F4944"/>
    <w:rsid w:val="002F4CFA"/>
    <w:rsid w:val="002F514E"/>
    <w:rsid w:val="002F6036"/>
    <w:rsid w:val="002F60B0"/>
    <w:rsid w:val="002F6176"/>
    <w:rsid w:val="002F6950"/>
    <w:rsid w:val="002F6BED"/>
    <w:rsid w:val="002F7424"/>
    <w:rsid w:val="002F77ED"/>
    <w:rsid w:val="002F7D52"/>
    <w:rsid w:val="002F7F33"/>
    <w:rsid w:val="00300708"/>
    <w:rsid w:val="00300EA4"/>
    <w:rsid w:val="003010A0"/>
    <w:rsid w:val="00301825"/>
    <w:rsid w:val="00301E8C"/>
    <w:rsid w:val="00302442"/>
    <w:rsid w:val="00302524"/>
    <w:rsid w:val="0030354D"/>
    <w:rsid w:val="003036D0"/>
    <w:rsid w:val="00303E9D"/>
    <w:rsid w:val="00304216"/>
    <w:rsid w:val="0030443D"/>
    <w:rsid w:val="00304CD8"/>
    <w:rsid w:val="00305027"/>
    <w:rsid w:val="00305CBD"/>
    <w:rsid w:val="00305E2A"/>
    <w:rsid w:val="00305FFC"/>
    <w:rsid w:val="003063F2"/>
    <w:rsid w:val="00307131"/>
    <w:rsid w:val="00307620"/>
    <w:rsid w:val="003078C2"/>
    <w:rsid w:val="00307D5B"/>
    <w:rsid w:val="00311951"/>
    <w:rsid w:val="00311E3D"/>
    <w:rsid w:val="003122B0"/>
    <w:rsid w:val="0031297B"/>
    <w:rsid w:val="00312C7E"/>
    <w:rsid w:val="00313954"/>
    <w:rsid w:val="00313E34"/>
    <w:rsid w:val="00314D29"/>
    <w:rsid w:val="00315201"/>
    <w:rsid w:val="003152F9"/>
    <w:rsid w:val="00315338"/>
    <w:rsid w:val="00315CEA"/>
    <w:rsid w:val="00315D4E"/>
    <w:rsid w:val="00316632"/>
    <w:rsid w:val="00317031"/>
    <w:rsid w:val="003172A6"/>
    <w:rsid w:val="00317D11"/>
    <w:rsid w:val="00320146"/>
    <w:rsid w:val="003205F6"/>
    <w:rsid w:val="00321024"/>
    <w:rsid w:val="0032123F"/>
    <w:rsid w:val="00321423"/>
    <w:rsid w:val="00321C7D"/>
    <w:rsid w:val="003229D9"/>
    <w:rsid w:val="003237FF"/>
    <w:rsid w:val="00323F97"/>
    <w:rsid w:val="00324FF0"/>
    <w:rsid w:val="00325637"/>
    <w:rsid w:val="00325B63"/>
    <w:rsid w:val="00327B0F"/>
    <w:rsid w:val="00327BBC"/>
    <w:rsid w:val="00327C10"/>
    <w:rsid w:val="003309C2"/>
    <w:rsid w:val="00330B4E"/>
    <w:rsid w:val="00331027"/>
    <w:rsid w:val="003334E9"/>
    <w:rsid w:val="00333BDD"/>
    <w:rsid w:val="003342A5"/>
    <w:rsid w:val="00334691"/>
    <w:rsid w:val="0033477F"/>
    <w:rsid w:val="003347C9"/>
    <w:rsid w:val="00334D87"/>
    <w:rsid w:val="00334E8E"/>
    <w:rsid w:val="003354E0"/>
    <w:rsid w:val="00336C72"/>
    <w:rsid w:val="0033720C"/>
    <w:rsid w:val="00337751"/>
    <w:rsid w:val="0034076A"/>
    <w:rsid w:val="00340DD8"/>
    <w:rsid w:val="003414C8"/>
    <w:rsid w:val="003414CD"/>
    <w:rsid w:val="00341A29"/>
    <w:rsid w:val="00343FC6"/>
    <w:rsid w:val="0034425C"/>
    <w:rsid w:val="00345300"/>
    <w:rsid w:val="003455DE"/>
    <w:rsid w:val="00345B42"/>
    <w:rsid w:val="00346730"/>
    <w:rsid w:val="003475C9"/>
    <w:rsid w:val="00347F26"/>
    <w:rsid w:val="00350240"/>
    <w:rsid w:val="00350F4C"/>
    <w:rsid w:val="00351270"/>
    <w:rsid w:val="00351ACF"/>
    <w:rsid w:val="00352380"/>
    <w:rsid w:val="003525B3"/>
    <w:rsid w:val="00352BA1"/>
    <w:rsid w:val="00352E59"/>
    <w:rsid w:val="00352FF4"/>
    <w:rsid w:val="00353222"/>
    <w:rsid w:val="003539F8"/>
    <w:rsid w:val="003544DC"/>
    <w:rsid w:val="00354A57"/>
    <w:rsid w:val="003559EB"/>
    <w:rsid w:val="00356FBE"/>
    <w:rsid w:val="0035723E"/>
    <w:rsid w:val="003572D2"/>
    <w:rsid w:val="003575C0"/>
    <w:rsid w:val="00357770"/>
    <w:rsid w:val="00357C22"/>
    <w:rsid w:val="00360BDB"/>
    <w:rsid w:val="00360F99"/>
    <w:rsid w:val="0036130F"/>
    <w:rsid w:val="00362521"/>
    <w:rsid w:val="003626CA"/>
    <w:rsid w:val="00362788"/>
    <w:rsid w:val="00363F82"/>
    <w:rsid w:val="00364525"/>
    <w:rsid w:val="00365369"/>
    <w:rsid w:val="003654BE"/>
    <w:rsid w:val="00366B92"/>
    <w:rsid w:val="00367E14"/>
    <w:rsid w:val="003705F1"/>
    <w:rsid w:val="00370A49"/>
    <w:rsid w:val="00370C2A"/>
    <w:rsid w:val="00370C85"/>
    <w:rsid w:val="00370CD0"/>
    <w:rsid w:val="0037113A"/>
    <w:rsid w:val="00371177"/>
    <w:rsid w:val="00371FCB"/>
    <w:rsid w:val="00372543"/>
    <w:rsid w:val="003729D8"/>
    <w:rsid w:val="0037305B"/>
    <w:rsid w:val="003733DE"/>
    <w:rsid w:val="00373724"/>
    <w:rsid w:val="00374036"/>
    <w:rsid w:val="00374190"/>
    <w:rsid w:val="00375458"/>
    <w:rsid w:val="003755C3"/>
    <w:rsid w:val="0037605E"/>
    <w:rsid w:val="003768A7"/>
    <w:rsid w:val="003776C3"/>
    <w:rsid w:val="00377755"/>
    <w:rsid w:val="003804C5"/>
    <w:rsid w:val="003815D0"/>
    <w:rsid w:val="0038268D"/>
    <w:rsid w:val="00382BCA"/>
    <w:rsid w:val="00383010"/>
    <w:rsid w:val="0038302A"/>
    <w:rsid w:val="00383353"/>
    <w:rsid w:val="003839FC"/>
    <w:rsid w:val="003842AA"/>
    <w:rsid w:val="003849E5"/>
    <w:rsid w:val="003851E2"/>
    <w:rsid w:val="0038556F"/>
    <w:rsid w:val="003871F1"/>
    <w:rsid w:val="00387E45"/>
    <w:rsid w:val="00390062"/>
    <w:rsid w:val="0039054F"/>
    <w:rsid w:val="00390EC9"/>
    <w:rsid w:val="003910D5"/>
    <w:rsid w:val="00391CB3"/>
    <w:rsid w:val="00391EEB"/>
    <w:rsid w:val="00392A91"/>
    <w:rsid w:val="00392E87"/>
    <w:rsid w:val="0039304C"/>
    <w:rsid w:val="0039365C"/>
    <w:rsid w:val="003936B5"/>
    <w:rsid w:val="00393AFA"/>
    <w:rsid w:val="00394164"/>
    <w:rsid w:val="00394797"/>
    <w:rsid w:val="00394AF0"/>
    <w:rsid w:val="00394E2D"/>
    <w:rsid w:val="00395705"/>
    <w:rsid w:val="00395B3D"/>
    <w:rsid w:val="00395FED"/>
    <w:rsid w:val="0039619F"/>
    <w:rsid w:val="00396333"/>
    <w:rsid w:val="003A05C8"/>
    <w:rsid w:val="003A06BD"/>
    <w:rsid w:val="003A2481"/>
    <w:rsid w:val="003A3521"/>
    <w:rsid w:val="003A389C"/>
    <w:rsid w:val="003A38DA"/>
    <w:rsid w:val="003A3FE0"/>
    <w:rsid w:val="003A5239"/>
    <w:rsid w:val="003A52CC"/>
    <w:rsid w:val="003A6F0F"/>
    <w:rsid w:val="003A7053"/>
    <w:rsid w:val="003A7189"/>
    <w:rsid w:val="003A7604"/>
    <w:rsid w:val="003B0481"/>
    <w:rsid w:val="003B0A48"/>
    <w:rsid w:val="003B0A94"/>
    <w:rsid w:val="003B1A53"/>
    <w:rsid w:val="003B27DE"/>
    <w:rsid w:val="003B2A79"/>
    <w:rsid w:val="003B4451"/>
    <w:rsid w:val="003B4B1D"/>
    <w:rsid w:val="003B5273"/>
    <w:rsid w:val="003B5F5D"/>
    <w:rsid w:val="003B6D02"/>
    <w:rsid w:val="003B74C3"/>
    <w:rsid w:val="003B7A75"/>
    <w:rsid w:val="003B7C16"/>
    <w:rsid w:val="003B7D38"/>
    <w:rsid w:val="003C0C2D"/>
    <w:rsid w:val="003C0CBC"/>
    <w:rsid w:val="003C0EF4"/>
    <w:rsid w:val="003C1719"/>
    <w:rsid w:val="003C1A7A"/>
    <w:rsid w:val="003C3331"/>
    <w:rsid w:val="003C454C"/>
    <w:rsid w:val="003C50B5"/>
    <w:rsid w:val="003C5CBA"/>
    <w:rsid w:val="003C5CC0"/>
    <w:rsid w:val="003C60BE"/>
    <w:rsid w:val="003C67E4"/>
    <w:rsid w:val="003C7389"/>
    <w:rsid w:val="003C79F7"/>
    <w:rsid w:val="003D152F"/>
    <w:rsid w:val="003D3C2D"/>
    <w:rsid w:val="003D3DC1"/>
    <w:rsid w:val="003D40AF"/>
    <w:rsid w:val="003D4357"/>
    <w:rsid w:val="003D4455"/>
    <w:rsid w:val="003D45B1"/>
    <w:rsid w:val="003D4925"/>
    <w:rsid w:val="003D4CF3"/>
    <w:rsid w:val="003D50F8"/>
    <w:rsid w:val="003D52D7"/>
    <w:rsid w:val="003D683C"/>
    <w:rsid w:val="003D6F37"/>
    <w:rsid w:val="003D7567"/>
    <w:rsid w:val="003D7A79"/>
    <w:rsid w:val="003D7B04"/>
    <w:rsid w:val="003E033C"/>
    <w:rsid w:val="003E1050"/>
    <w:rsid w:val="003E3102"/>
    <w:rsid w:val="003E382D"/>
    <w:rsid w:val="003E3E12"/>
    <w:rsid w:val="003E6D98"/>
    <w:rsid w:val="003E7B12"/>
    <w:rsid w:val="003E7CFA"/>
    <w:rsid w:val="003E7D91"/>
    <w:rsid w:val="003E7F07"/>
    <w:rsid w:val="003F00C5"/>
    <w:rsid w:val="003F06C9"/>
    <w:rsid w:val="003F2018"/>
    <w:rsid w:val="003F229E"/>
    <w:rsid w:val="003F26DA"/>
    <w:rsid w:val="003F273C"/>
    <w:rsid w:val="003F2ED8"/>
    <w:rsid w:val="003F3250"/>
    <w:rsid w:val="003F3323"/>
    <w:rsid w:val="003F4884"/>
    <w:rsid w:val="003F4EC2"/>
    <w:rsid w:val="003F57C6"/>
    <w:rsid w:val="003F68FD"/>
    <w:rsid w:val="003F6CAE"/>
    <w:rsid w:val="003F6FCB"/>
    <w:rsid w:val="003F739B"/>
    <w:rsid w:val="0040218A"/>
    <w:rsid w:val="00402C3B"/>
    <w:rsid w:val="00403426"/>
    <w:rsid w:val="004034A2"/>
    <w:rsid w:val="00403B2A"/>
    <w:rsid w:val="00403B8C"/>
    <w:rsid w:val="00405069"/>
    <w:rsid w:val="004104D7"/>
    <w:rsid w:val="0041069A"/>
    <w:rsid w:val="00410714"/>
    <w:rsid w:val="0041324B"/>
    <w:rsid w:val="00414561"/>
    <w:rsid w:val="00415300"/>
    <w:rsid w:val="0041574F"/>
    <w:rsid w:val="00415CF7"/>
    <w:rsid w:val="00415D73"/>
    <w:rsid w:val="00415DCB"/>
    <w:rsid w:val="00416387"/>
    <w:rsid w:val="00417182"/>
    <w:rsid w:val="00417B6F"/>
    <w:rsid w:val="004201B6"/>
    <w:rsid w:val="00420BE9"/>
    <w:rsid w:val="00421BD6"/>
    <w:rsid w:val="00423122"/>
    <w:rsid w:val="00423E01"/>
    <w:rsid w:val="004247FD"/>
    <w:rsid w:val="00424A75"/>
    <w:rsid w:val="0042560D"/>
    <w:rsid w:val="00425EFB"/>
    <w:rsid w:val="00426998"/>
    <w:rsid w:val="004274B1"/>
    <w:rsid w:val="00427C4E"/>
    <w:rsid w:val="00427D50"/>
    <w:rsid w:val="00430FFD"/>
    <w:rsid w:val="004310B2"/>
    <w:rsid w:val="00431743"/>
    <w:rsid w:val="00431B09"/>
    <w:rsid w:val="00431E4D"/>
    <w:rsid w:val="004332AD"/>
    <w:rsid w:val="0043333D"/>
    <w:rsid w:val="004336A1"/>
    <w:rsid w:val="00433E63"/>
    <w:rsid w:val="004342B5"/>
    <w:rsid w:val="004348D6"/>
    <w:rsid w:val="004362F9"/>
    <w:rsid w:val="00436D31"/>
    <w:rsid w:val="00436DCB"/>
    <w:rsid w:val="004401A3"/>
    <w:rsid w:val="004404DC"/>
    <w:rsid w:val="004405FF"/>
    <w:rsid w:val="00440C37"/>
    <w:rsid w:val="00442305"/>
    <w:rsid w:val="00442E65"/>
    <w:rsid w:val="00443201"/>
    <w:rsid w:val="004453D5"/>
    <w:rsid w:val="004454BF"/>
    <w:rsid w:val="0044690E"/>
    <w:rsid w:val="00446C43"/>
    <w:rsid w:val="004470F4"/>
    <w:rsid w:val="004475D7"/>
    <w:rsid w:val="00450005"/>
    <w:rsid w:val="00450084"/>
    <w:rsid w:val="0045044A"/>
    <w:rsid w:val="00450642"/>
    <w:rsid w:val="0045094F"/>
    <w:rsid w:val="00450E95"/>
    <w:rsid w:val="00451B32"/>
    <w:rsid w:val="004527F3"/>
    <w:rsid w:val="0045297B"/>
    <w:rsid w:val="00452C41"/>
    <w:rsid w:val="004532B4"/>
    <w:rsid w:val="004544A2"/>
    <w:rsid w:val="00454A7A"/>
    <w:rsid w:val="00454F84"/>
    <w:rsid w:val="004555FE"/>
    <w:rsid w:val="00455E4C"/>
    <w:rsid w:val="004561A7"/>
    <w:rsid w:val="004563B2"/>
    <w:rsid w:val="0045691A"/>
    <w:rsid w:val="00457C69"/>
    <w:rsid w:val="0046077C"/>
    <w:rsid w:val="00460888"/>
    <w:rsid w:val="00460F57"/>
    <w:rsid w:val="00461006"/>
    <w:rsid w:val="004613D9"/>
    <w:rsid w:val="00461DF2"/>
    <w:rsid w:val="0046208A"/>
    <w:rsid w:val="004621C1"/>
    <w:rsid w:val="004624AF"/>
    <w:rsid w:val="00462F08"/>
    <w:rsid w:val="004636E3"/>
    <w:rsid w:val="0046396D"/>
    <w:rsid w:val="00463984"/>
    <w:rsid w:val="00463DFE"/>
    <w:rsid w:val="00464A25"/>
    <w:rsid w:val="00464C2C"/>
    <w:rsid w:val="00465846"/>
    <w:rsid w:val="00466258"/>
    <w:rsid w:val="004662E0"/>
    <w:rsid w:val="0046635A"/>
    <w:rsid w:val="00466508"/>
    <w:rsid w:val="00466679"/>
    <w:rsid w:val="0047289E"/>
    <w:rsid w:val="00472F4F"/>
    <w:rsid w:val="004731EA"/>
    <w:rsid w:val="0047445C"/>
    <w:rsid w:val="004747A5"/>
    <w:rsid w:val="00474E16"/>
    <w:rsid w:val="00475E4F"/>
    <w:rsid w:val="00475EC8"/>
    <w:rsid w:val="00476D19"/>
    <w:rsid w:val="004773A0"/>
    <w:rsid w:val="00477766"/>
    <w:rsid w:val="00477DA1"/>
    <w:rsid w:val="004808C3"/>
    <w:rsid w:val="00480937"/>
    <w:rsid w:val="00481435"/>
    <w:rsid w:val="00481866"/>
    <w:rsid w:val="00481F8B"/>
    <w:rsid w:val="004824F6"/>
    <w:rsid w:val="00482DAF"/>
    <w:rsid w:val="004831A4"/>
    <w:rsid w:val="004834A0"/>
    <w:rsid w:val="00483E12"/>
    <w:rsid w:val="00484A22"/>
    <w:rsid w:val="00485310"/>
    <w:rsid w:val="00485800"/>
    <w:rsid w:val="00485B5F"/>
    <w:rsid w:val="004860E1"/>
    <w:rsid w:val="00486C63"/>
    <w:rsid w:val="00487438"/>
    <w:rsid w:val="00487D22"/>
    <w:rsid w:val="00487EA3"/>
    <w:rsid w:val="00490169"/>
    <w:rsid w:val="004907A6"/>
    <w:rsid w:val="00490852"/>
    <w:rsid w:val="00490CCF"/>
    <w:rsid w:val="004910A4"/>
    <w:rsid w:val="00491C9C"/>
    <w:rsid w:val="00492757"/>
    <w:rsid w:val="004927B7"/>
    <w:rsid w:val="00493738"/>
    <w:rsid w:val="00493AE9"/>
    <w:rsid w:val="00493E00"/>
    <w:rsid w:val="00495333"/>
    <w:rsid w:val="004966DE"/>
    <w:rsid w:val="00496925"/>
    <w:rsid w:val="00496A7B"/>
    <w:rsid w:val="00496B2A"/>
    <w:rsid w:val="00496CF7"/>
    <w:rsid w:val="004970B7"/>
    <w:rsid w:val="00497789"/>
    <w:rsid w:val="004A0022"/>
    <w:rsid w:val="004A083D"/>
    <w:rsid w:val="004A10BC"/>
    <w:rsid w:val="004A1318"/>
    <w:rsid w:val="004A1848"/>
    <w:rsid w:val="004A203F"/>
    <w:rsid w:val="004A2693"/>
    <w:rsid w:val="004A2BA0"/>
    <w:rsid w:val="004A2E1E"/>
    <w:rsid w:val="004A2FFB"/>
    <w:rsid w:val="004A306F"/>
    <w:rsid w:val="004A3A21"/>
    <w:rsid w:val="004A404E"/>
    <w:rsid w:val="004A4115"/>
    <w:rsid w:val="004A4C9A"/>
    <w:rsid w:val="004A4D06"/>
    <w:rsid w:val="004A4E65"/>
    <w:rsid w:val="004A504D"/>
    <w:rsid w:val="004A5D66"/>
    <w:rsid w:val="004A6A72"/>
    <w:rsid w:val="004A6BA4"/>
    <w:rsid w:val="004A6C78"/>
    <w:rsid w:val="004A7429"/>
    <w:rsid w:val="004B10D7"/>
    <w:rsid w:val="004B158D"/>
    <w:rsid w:val="004B1855"/>
    <w:rsid w:val="004B20A1"/>
    <w:rsid w:val="004B26C5"/>
    <w:rsid w:val="004B29BF"/>
    <w:rsid w:val="004B2DEA"/>
    <w:rsid w:val="004B2F8B"/>
    <w:rsid w:val="004B415D"/>
    <w:rsid w:val="004B478B"/>
    <w:rsid w:val="004B5083"/>
    <w:rsid w:val="004B6CB8"/>
    <w:rsid w:val="004B7888"/>
    <w:rsid w:val="004C031D"/>
    <w:rsid w:val="004C0368"/>
    <w:rsid w:val="004C051B"/>
    <w:rsid w:val="004C0D4E"/>
    <w:rsid w:val="004C1620"/>
    <w:rsid w:val="004C2C42"/>
    <w:rsid w:val="004C2D73"/>
    <w:rsid w:val="004C3AB8"/>
    <w:rsid w:val="004C3CD7"/>
    <w:rsid w:val="004C44FD"/>
    <w:rsid w:val="004C45EE"/>
    <w:rsid w:val="004C514C"/>
    <w:rsid w:val="004C5DF2"/>
    <w:rsid w:val="004C6860"/>
    <w:rsid w:val="004C75D6"/>
    <w:rsid w:val="004D0360"/>
    <w:rsid w:val="004D17B3"/>
    <w:rsid w:val="004D1C55"/>
    <w:rsid w:val="004D1EDC"/>
    <w:rsid w:val="004D2AB7"/>
    <w:rsid w:val="004D2D59"/>
    <w:rsid w:val="004D4468"/>
    <w:rsid w:val="004D4D5B"/>
    <w:rsid w:val="004D50D4"/>
    <w:rsid w:val="004D7060"/>
    <w:rsid w:val="004E0445"/>
    <w:rsid w:val="004E05DC"/>
    <w:rsid w:val="004E0D67"/>
    <w:rsid w:val="004E25FC"/>
    <w:rsid w:val="004E2737"/>
    <w:rsid w:val="004E28BD"/>
    <w:rsid w:val="004E28C4"/>
    <w:rsid w:val="004E2970"/>
    <w:rsid w:val="004E2CB3"/>
    <w:rsid w:val="004E3F3E"/>
    <w:rsid w:val="004E40F1"/>
    <w:rsid w:val="004E41F2"/>
    <w:rsid w:val="004E445B"/>
    <w:rsid w:val="004E47CA"/>
    <w:rsid w:val="004E493F"/>
    <w:rsid w:val="004E4A85"/>
    <w:rsid w:val="004E5F38"/>
    <w:rsid w:val="004E67C4"/>
    <w:rsid w:val="004E6863"/>
    <w:rsid w:val="004E6B76"/>
    <w:rsid w:val="004E6CE8"/>
    <w:rsid w:val="004F0499"/>
    <w:rsid w:val="004F0C4B"/>
    <w:rsid w:val="004F102F"/>
    <w:rsid w:val="004F10F3"/>
    <w:rsid w:val="004F1639"/>
    <w:rsid w:val="004F19B1"/>
    <w:rsid w:val="004F1A46"/>
    <w:rsid w:val="004F2DD3"/>
    <w:rsid w:val="004F3688"/>
    <w:rsid w:val="004F3D6E"/>
    <w:rsid w:val="004F40F2"/>
    <w:rsid w:val="004F4492"/>
    <w:rsid w:val="004F495B"/>
    <w:rsid w:val="004F49E8"/>
    <w:rsid w:val="004F4B65"/>
    <w:rsid w:val="004F53E3"/>
    <w:rsid w:val="004F57D9"/>
    <w:rsid w:val="004F624B"/>
    <w:rsid w:val="004F6B76"/>
    <w:rsid w:val="004F6FCE"/>
    <w:rsid w:val="00500BCE"/>
    <w:rsid w:val="00500C80"/>
    <w:rsid w:val="00501964"/>
    <w:rsid w:val="00501BBB"/>
    <w:rsid w:val="005028FE"/>
    <w:rsid w:val="0050292E"/>
    <w:rsid w:val="00502B3D"/>
    <w:rsid w:val="00502FBA"/>
    <w:rsid w:val="005036A1"/>
    <w:rsid w:val="00503F8B"/>
    <w:rsid w:val="005045CC"/>
    <w:rsid w:val="00504E85"/>
    <w:rsid w:val="0050546B"/>
    <w:rsid w:val="005060E1"/>
    <w:rsid w:val="00507734"/>
    <w:rsid w:val="00507EE1"/>
    <w:rsid w:val="00510EFB"/>
    <w:rsid w:val="00511202"/>
    <w:rsid w:val="00511F9D"/>
    <w:rsid w:val="00512DE6"/>
    <w:rsid w:val="005134A6"/>
    <w:rsid w:val="00513633"/>
    <w:rsid w:val="00513808"/>
    <w:rsid w:val="00515086"/>
    <w:rsid w:val="00516433"/>
    <w:rsid w:val="00516F5D"/>
    <w:rsid w:val="00517BAF"/>
    <w:rsid w:val="00517CD9"/>
    <w:rsid w:val="005232D3"/>
    <w:rsid w:val="00524653"/>
    <w:rsid w:val="00524C7B"/>
    <w:rsid w:val="0052548E"/>
    <w:rsid w:val="005256EC"/>
    <w:rsid w:val="00525ABC"/>
    <w:rsid w:val="0052622B"/>
    <w:rsid w:val="00526496"/>
    <w:rsid w:val="005273BC"/>
    <w:rsid w:val="00527DC9"/>
    <w:rsid w:val="00527F26"/>
    <w:rsid w:val="00531271"/>
    <w:rsid w:val="0053170D"/>
    <w:rsid w:val="0053187B"/>
    <w:rsid w:val="005322AF"/>
    <w:rsid w:val="00532907"/>
    <w:rsid w:val="00532F66"/>
    <w:rsid w:val="00533836"/>
    <w:rsid w:val="00535242"/>
    <w:rsid w:val="005369D1"/>
    <w:rsid w:val="00536A92"/>
    <w:rsid w:val="005373EA"/>
    <w:rsid w:val="00540464"/>
    <w:rsid w:val="00540A1E"/>
    <w:rsid w:val="00540CB6"/>
    <w:rsid w:val="00540F52"/>
    <w:rsid w:val="00542691"/>
    <w:rsid w:val="005428FD"/>
    <w:rsid w:val="00543273"/>
    <w:rsid w:val="00543919"/>
    <w:rsid w:val="005445A7"/>
    <w:rsid w:val="005450DA"/>
    <w:rsid w:val="005453C6"/>
    <w:rsid w:val="0054577E"/>
    <w:rsid w:val="00545835"/>
    <w:rsid w:val="00545A79"/>
    <w:rsid w:val="00545BDB"/>
    <w:rsid w:val="00545D31"/>
    <w:rsid w:val="00545EF4"/>
    <w:rsid w:val="00545F66"/>
    <w:rsid w:val="00546D5A"/>
    <w:rsid w:val="00547445"/>
    <w:rsid w:val="005475B5"/>
    <w:rsid w:val="0055012B"/>
    <w:rsid w:val="005503DC"/>
    <w:rsid w:val="00550860"/>
    <w:rsid w:val="00550D8D"/>
    <w:rsid w:val="00550E61"/>
    <w:rsid w:val="00551A96"/>
    <w:rsid w:val="00551D2C"/>
    <w:rsid w:val="00552117"/>
    <w:rsid w:val="0055225F"/>
    <w:rsid w:val="0055237F"/>
    <w:rsid w:val="00553740"/>
    <w:rsid w:val="00553E0D"/>
    <w:rsid w:val="0055435D"/>
    <w:rsid w:val="00554C89"/>
    <w:rsid w:val="0055507A"/>
    <w:rsid w:val="00556317"/>
    <w:rsid w:val="00556500"/>
    <w:rsid w:val="0055785D"/>
    <w:rsid w:val="00557D78"/>
    <w:rsid w:val="00561D0A"/>
    <w:rsid w:val="00561FE6"/>
    <w:rsid w:val="0056271A"/>
    <w:rsid w:val="00562CD0"/>
    <w:rsid w:val="005633EF"/>
    <w:rsid w:val="00563935"/>
    <w:rsid w:val="00563C77"/>
    <w:rsid w:val="00564A09"/>
    <w:rsid w:val="00564EF9"/>
    <w:rsid w:val="00565117"/>
    <w:rsid w:val="00565230"/>
    <w:rsid w:val="00565ABF"/>
    <w:rsid w:val="00565E87"/>
    <w:rsid w:val="0056686B"/>
    <w:rsid w:val="00567844"/>
    <w:rsid w:val="00570915"/>
    <w:rsid w:val="00570B02"/>
    <w:rsid w:val="005713C9"/>
    <w:rsid w:val="00571599"/>
    <w:rsid w:val="00571E09"/>
    <w:rsid w:val="00571FEF"/>
    <w:rsid w:val="00572478"/>
    <w:rsid w:val="00572F9B"/>
    <w:rsid w:val="0057398A"/>
    <w:rsid w:val="00574BDD"/>
    <w:rsid w:val="00575341"/>
    <w:rsid w:val="00575472"/>
    <w:rsid w:val="00576458"/>
    <w:rsid w:val="00576570"/>
    <w:rsid w:val="0057684D"/>
    <w:rsid w:val="00576E1A"/>
    <w:rsid w:val="0057744E"/>
    <w:rsid w:val="00577501"/>
    <w:rsid w:val="005806A7"/>
    <w:rsid w:val="00580A0A"/>
    <w:rsid w:val="005819EC"/>
    <w:rsid w:val="005822CD"/>
    <w:rsid w:val="00582666"/>
    <w:rsid w:val="00582D74"/>
    <w:rsid w:val="00582F3F"/>
    <w:rsid w:val="0058380B"/>
    <w:rsid w:val="00584460"/>
    <w:rsid w:val="00584715"/>
    <w:rsid w:val="00584796"/>
    <w:rsid w:val="00584930"/>
    <w:rsid w:val="00584A31"/>
    <w:rsid w:val="005877F8"/>
    <w:rsid w:val="00587D5F"/>
    <w:rsid w:val="00590399"/>
    <w:rsid w:val="00590798"/>
    <w:rsid w:val="00590E97"/>
    <w:rsid w:val="005913B9"/>
    <w:rsid w:val="005918A1"/>
    <w:rsid w:val="00591AF2"/>
    <w:rsid w:val="00591B38"/>
    <w:rsid w:val="0059269D"/>
    <w:rsid w:val="005926B1"/>
    <w:rsid w:val="00592724"/>
    <w:rsid w:val="00592DC5"/>
    <w:rsid w:val="00592E6F"/>
    <w:rsid w:val="0059301D"/>
    <w:rsid w:val="005931F3"/>
    <w:rsid w:val="005939F9"/>
    <w:rsid w:val="00593CE5"/>
    <w:rsid w:val="00593D30"/>
    <w:rsid w:val="005940B8"/>
    <w:rsid w:val="0059591B"/>
    <w:rsid w:val="005959B1"/>
    <w:rsid w:val="00596289"/>
    <w:rsid w:val="00596AFC"/>
    <w:rsid w:val="00597116"/>
    <w:rsid w:val="005A00FA"/>
    <w:rsid w:val="005A0277"/>
    <w:rsid w:val="005A066D"/>
    <w:rsid w:val="005A0A2A"/>
    <w:rsid w:val="005A1578"/>
    <w:rsid w:val="005A1743"/>
    <w:rsid w:val="005A1F87"/>
    <w:rsid w:val="005A286E"/>
    <w:rsid w:val="005A29D6"/>
    <w:rsid w:val="005A30C3"/>
    <w:rsid w:val="005A33DC"/>
    <w:rsid w:val="005A3673"/>
    <w:rsid w:val="005A4B96"/>
    <w:rsid w:val="005A68BA"/>
    <w:rsid w:val="005A6971"/>
    <w:rsid w:val="005A7204"/>
    <w:rsid w:val="005A7A5D"/>
    <w:rsid w:val="005A7AF3"/>
    <w:rsid w:val="005A7B58"/>
    <w:rsid w:val="005A7B92"/>
    <w:rsid w:val="005B0390"/>
    <w:rsid w:val="005B046C"/>
    <w:rsid w:val="005B07A6"/>
    <w:rsid w:val="005B0C9B"/>
    <w:rsid w:val="005B0C9F"/>
    <w:rsid w:val="005B0E00"/>
    <w:rsid w:val="005B18CC"/>
    <w:rsid w:val="005B2C9C"/>
    <w:rsid w:val="005B4CCB"/>
    <w:rsid w:val="005B4CE8"/>
    <w:rsid w:val="005B51D9"/>
    <w:rsid w:val="005B555B"/>
    <w:rsid w:val="005B56FF"/>
    <w:rsid w:val="005B5FFB"/>
    <w:rsid w:val="005B6555"/>
    <w:rsid w:val="005B68BE"/>
    <w:rsid w:val="005B7D6D"/>
    <w:rsid w:val="005B7F9D"/>
    <w:rsid w:val="005C04A2"/>
    <w:rsid w:val="005C0648"/>
    <w:rsid w:val="005C0A3D"/>
    <w:rsid w:val="005C0AE9"/>
    <w:rsid w:val="005C1095"/>
    <w:rsid w:val="005C12DB"/>
    <w:rsid w:val="005C1338"/>
    <w:rsid w:val="005C133D"/>
    <w:rsid w:val="005C138E"/>
    <w:rsid w:val="005C16FE"/>
    <w:rsid w:val="005C1D9E"/>
    <w:rsid w:val="005C24D2"/>
    <w:rsid w:val="005C38FE"/>
    <w:rsid w:val="005C3E23"/>
    <w:rsid w:val="005C3EBE"/>
    <w:rsid w:val="005C40C4"/>
    <w:rsid w:val="005C4668"/>
    <w:rsid w:val="005C5993"/>
    <w:rsid w:val="005C6330"/>
    <w:rsid w:val="005C678F"/>
    <w:rsid w:val="005C6A6A"/>
    <w:rsid w:val="005C6AD3"/>
    <w:rsid w:val="005C7258"/>
    <w:rsid w:val="005C7EB1"/>
    <w:rsid w:val="005D0AD9"/>
    <w:rsid w:val="005D0C60"/>
    <w:rsid w:val="005D0D6B"/>
    <w:rsid w:val="005D0EC7"/>
    <w:rsid w:val="005D10C9"/>
    <w:rsid w:val="005D13EC"/>
    <w:rsid w:val="005D1F55"/>
    <w:rsid w:val="005D31A6"/>
    <w:rsid w:val="005D34FF"/>
    <w:rsid w:val="005D3E74"/>
    <w:rsid w:val="005D40F3"/>
    <w:rsid w:val="005D4245"/>
    <w:rsid w:val="005D4375"/>
    <w:rsid w:val="005D49CC"/>
    <w:rsid w:val="005D4AC0"/>
    <w:rsid w:val="005D4D89"/>
    <w:rsid w:val="005D5F77"/>
    <w:rsid w:val="005D6342"/>
    <w:rsid w:val="005D67B0"/>
    <w:rsid w:val="005D71DD"/>
    <w:rsid w:val="005D735A"/>
    <w:rsid w:val="005D7DD3"/>
    <w:rsid w:val="005D7F06"/>
    <w:rsid w:val="005E05D6"/>
    <w:rsid w:val="005E120D"/>
    <w:rsid w:val="005E1CC3"/>
    <w:rsid w:val="005E1ECE"/>
    <w:rsid w:val="005E202E"/>
    <w:rsid w:val="005E2C52"/>
    <w:rsid w:val="005E3084"/>
    <w:rsid w:val="005E337E"/>
    <w:rsid w:val="005E35B8"/>
    <w:rsid w:val="005E4C6F"/>
    <w:rsid w:val="005E527B"/>
    <w:rsid w:val="005E58EC"/>
    <w:rsid w:val="005E5E76"/>
    <w:rsid w:val="005E5EC0"/>
    <w:rsid w:val="005E69E1"/>
    <w:rsid w:val="005E7716"/>
    <w:rsid w:val="005E77AC"/>
    <w:rsid w:val="005F0BD4"/>
    <w:rsid w:val="005F1215"/>
    <w:rsid w:val="005F16B9"/>
    <w:rsid w:val="005F1A4E"/>
    <w:rsid w:val="005F1A64"/>
    <w:rsid w:val="005F1BD5"/>
    <w:rsid w:val="005F2CBF"/>
    <w:rsid w:val="005F3E9F"/>
    <w:rsid w:val="005F43B9"/>
    <w:rsid w:val="005F49C3"/>
    <w:rsid w:val="005F61F4"/>
    <w:rsid w:val="005F64BF"/>
    <w:rsid w:val="005F69F4"/>
    <w:rsid w:val="005F6EFB"/>
    <w:rsid w:val="005F7717"/>
    <w:rsid w:val="006005F7"/>
    <w:rsid w:val="0060075F"/>
    <w:rsid w:val="006012A0"/>
    <w:rsid w:val="00601E32"/>
    <w:rsid w:val="0060254F"/>
    <w:rsid w:val="00602B3A"/>
    <w:rsid w:val="00604FEE"/>
    <w:rsid w:val="006050FE"/>
    <w:rsid w:val="006058FB"/>
    <w:rsid w:val="00605A9C"/>
    <w:rsid w:val="006060A5"/>
    <w:rsid w:val="00606494"/>
    <w:rsid w:val="0060658D"/>
    <w:rsid w:val="00606A38"/>
    <w:rsid w:val="00607261"/>
    <w:rsid w:val="00607717"/>
    <w:rsid w:val="00607D6D"/>
    <w:rsid w:val="00607EA4"/>
    <w:rsid w:val="00610B3D"/>
    <w:rsid w:val="00611201"/>
    <w:rsid w:val="00611505"/>
    <w:rsid w:val="00612856"/>
    <w:rsid w:val="0061308C"/>
    <w:rsid w:val="00613995"/>
    <w:rsid w:val="006155BD"/>
    <w:rsid w:val="006156E6"/>
    <w:rsid w:val="00615C0D"/>
    <w:rsid w:val="006178B7"/>
    <w:rsid w:val="00617AB5"/>
    <w:rsid w:val="00620D56"/>
    <w:rsid w:val="00620E27"/>
    <w:rsid w:val="006211C2"/>
    <w:rsid w:val="0062160C"/>
    <w:rsid w:val="00622FD9"/>
    <w:rsid w:val="0062320A"/>
    <w:rsid w:val="00624520"/>
    <w:rsid w:val="00624AF3"/>
    <w:rsid w:val="00624BAB"/>
    <w:rsid w:val="00625078"/>
    <w:rsid w:val="0062530D"/>
    <w:rsid w:val="00625360"/>
    <w:rsid w:val="006256F8"/>
    <w:rsid w:val="006267B3"/>
    <w:rsid w:val="006270A4"/>
    <w:rsid w:val="00627720"/>
    <w:rsid w:val="00627D76"/>
    <w:rsid w:val="00630032"/>
    <w:rsid w:val="006305A6"/>
    <w:rsid w:val="006312CA"/>
    <w:rsid w:val="00631485"/>
    <w:rsid w:val="006316D0"/>
    <w:rsid w:val="006316D8"/>
    <w:rsid w:val="00631F35"/>
    <w:rsid w:val="006329D0"/>
    <w:rsid w:val="006329F1"/>
    <w:rsid w:val="00632B35"/>
    <w:rsid w:val="00633B1B"/>
    <w:rsid w:val="00633C90"/>
    <w:rsid w:val="00633E9E"/>
    <w:rsid w:val="0063417B"/>
    <w:rsid w:val="00634DEA"/>
    <w:rsid w:val="00635034"/>
    <w:rsid w:val="00636000"/>
    <w:rsid w:val="0063613D"/>
    <w:rsid w:val="00636704"/>
    <w:rsid w:val="00636BFF"/>
    <w:rsid w:val="006373BF"/>
    <w:rsid w:val="006378FD"/>
    <w:rsid w:val="00637CCB"/>
    <w:rsid w:val="00637F4B"/>
    <w:rsid w:val="006409DD"/>
    <w:rsid w:val="00640AE4"/>
    <w:rsid w:val="0064143B"/>
    <w:rsid w:val="006415A4"/>
    <w:rsid w:val="00641935"/>
    <w:rsid w:val="00641DD7"/>
    <w:rsid w:val="00642305"/>
    <w:rsid w:val="00642F13"/>
    <w:rsid w:val="00643DB1"/>
    <w:rsid w:val="00643F58"/>
    <w:rsid w:val="0064513C"/>
    <w:rsid w:val="006452D5"/>
    <w:rsid w:val="00646255"/>
    <w:rsid w:val="00646EF2"/>
    <w:rsid w:val="00647C13"/>
    <w:rsid w:val="00647D75"/>
    <w:rsid w:val="00647F2B"/>
    <w:rsid w:val="00651315"/>
    <w:rsid w:val="00651457"/>
    <w:rsid w:val="0065163A"/>
    <w:rsid w:val="00651EB0"/>
    <w:rsid w:val="00652136"/>
    <w:rsid w:val="0065245D"/>
    <w:rsid w:val="00652BD9"/>
    <w:rsid w:val="006532D6"/>
    <w:rsid w:val="0065344C"/>
    <w:rsid w:val="0065352B"/>
    <w:rsid w:val="00653EA7"/>
    <w:rsid w:val="0065436B"/>
    <w:rsid w:val="006549A5"/>
    <w:rsid w:val="00654DBD"/>
    <w:rsid w:val="0065580D"/>
    <w:rsid w:val="00656A13"/>
    <w:rsid w:val="006571AA"/>
    <w:rsid w:val="006574AB"/>
    <w:rsid w:val="0066110B"/>
    <w:rsid w:val="00661BAB"/>
    <w:rsid w:val="00661D35"/>
    <w:rsid w:val="00662FB2"/>
    <w:rsid w:val="006639B4"/>
    <w:rsid w:val="00663B21"/>
    <w:rsid w:val="006643A6"/>
    <w:rsid w:val="00664504"/>
    <w:rsid w:val="006655F1"/>
    <w:rsid w:val="00665620"/>
    <w:rsid w:val="00665BDD"/>
    <w:rsid w:val="0066696C"/>
    <w:rsid w:val="00667761"/>
    <w:rsid w:val="0067025A"/>
    <w:rsid w:val="00670E07"/>
    <w:rsid w:val="006712A4"/>
    <w:rsid w:val="00671865"/>
    <w:rsid w:val="00672355"/>
    <w:rsid w:val="006723AC"/>
    <w:rsid w:val="00672448"/>
    <w:rsid w:val="00672F75"/>
    <w:rsid w:val="006738CA"/>
    <w:rsid w:val="00673A5C"/>
    <w:rsid w:val="00673B5B"/>
    <w:rsid w:val="00674F2C"/>
    <w:rsid w:val="00675816"/>
    <w:rsid w:val="006759CB"/>
    <w:rsid w:val="006762F7"/>
    <w:rsid w:val="00676EE1"/>
    <w:rsid w:val="00676FE4"/>
    <w:rsid w:val="006770C0"/>
    <w:rsid w:val="006776D9"/>
    <w:rsid w:val="00677D43"/>
    <w:rsid w:val="00681125"/>
    <w:rsid w:val="006818EA"/>
    <w:rsid w:val="00681E02"/>
    <w:rsid w:val="00682D61"/>
    <w:rsid w:val="00682F97"/>
    <w:rsid w:val="006831AF"/>
    <w:rsid w:val="0068474B"/>
    <w:rsid w:val="006847C2"/>
    <w:rsid w:val="00684AA1"/>
    <w:rsid w:val="0068661E"/>
    <w:rsid w:val="006866D9"/>
    <w:rsid w:val="0069071C"/>
    <w:rsid w:val="00690D55"/>
    <w:rsid w:val="006910A6"/>
    <w:rsid w:val="00691D0C"/>
    <w:rsid w:val="00691E20"/>
    <w:rsid w:val="00692C51"/>
    <w:rsid w:val="006949EA"/>
    <w:rsid w:val="00694FAD"/>
    <w:rsid w:val="00695231"/>
    <w:rsid w:val="00695433"/>
    <w:rsid w:val="00695C8E"/>
    <w:rsid w:val="006960CD"/>
    <w:rsid w:val="00697551"/>
    <w:rsid w:val="006979BC"/>
    <w:rsid w:val="006A111A"/>
    <w:rsid w:val="006A1BAD"/>
    <w:rsid w:val="006A28AB"/>
    <w:rsid w:val="006A2AE6"/>
    <w:rsid w:val="006A41D5"/>
    <w:rsid w:val="006A4295"/>
    <w:rsid w:val="006A44B9"/>
    <w:rsid w:val="006A53A5"/>
    <w:rsid w:val="006A56C7"/>
    <w:rsid w:val="006A5B39"/>
    <w:rsid w:val="006A6573"/>
    <w:rsid w:val="006A6897"/>
    <w:rsid w:val="006A6E82"/>
    <w:rsid w:val="006A748B"/>
    <w:rsid w:val="006A7494"/>
    <w:rsid w:val="006A794E"/>
    <w:rsid w:val="006A7C7E"/>
    <w:rsid w:val="006A7FC1"/>
    <w:rsid w:val="006B05F7"/>
    <w:rsid w:val="006B1241"/>
    <w:rsid w:val="006B1879"/>
    <w:rsid w:val="006B30F4"/>
    <w:rsid w:val="006B3364"/>
    <w:rsid w:val="006B3951"/>
    <w:rsid w:val="006B43DA"/>
    <w:rsid w:val="006B460E"/>
    <w:rsid w:val="006B489A"/>
    <w:rsid w:val="006B4C0F"/>
    <w:rsid w:val="006B5C35"/>
    <w:rsid w:val="006B5D72"/>
    <w:rsid w:val="006B5FAE"/>
    <w:rsid w:val="006B632D"/>
    <w:rsid w:val="006B6531"/>
    <w:rsid w:val="006B6949"/>
    <w:rsid w:val="006C054D"/>
    <w:rsid w:val="006C07E8"/>
    <w:rsid w:val="006C0C69"/>
    <w:rsid w:val="006C0FC7"/>
    <w:rsid w:val="006C2D1A"/>
    <w:rsid w:val="006C2F67"/>
    <w:rsid w:val="006C3B37"/>
    <w:rsid w:val="006C4C3B"/>
    <w:rsid w:val="006C4C6E"/>
    <w:rsid w:val="006C4D94"/>
    <w:rsid w:val="006C4DB7"/>
    <w:rsid w:val="006C5EB3"/>
    <w:rsid w:val="006C635C"/>
    <w:rsid w:val="006C65F4"/>
    <w:rsid w:val="006C6CFD"/>
    <w:rsid w:val="006C6EFD"/>
    <w:rsid w:val="006C7464"/>
    <w:rsid w:val="006D005C"/>
    <w:rsid w:val="006D0579"/>
    <w:rsid w:val="006D2AD8"/>
    <w:rsid w:val="006D31FC"/>
    <w:rsid w:val="006D3599"/>
    <w:rsid w:val="006D4859"/>
    <w:rsid w:val="006D4E9F"/>
    <w:rsid w:val="006D544B"/>
    <w:rsid w:val="006D6417"/>
    <w:rsid w:val="006D6B24"/>
    <w:rsid w:val="006D70A2"/>
    <w:rsid w:val="006D766E"/>
    <w:rsid w:val="006D7A5E"/>
    <w:rsid w:val="006E03D8"/>
    <w:rsid w:val="006E062D"/>
    <w:rsid w:val="006E1117"/>
    <w:rsid w:val="006E16DF"/>
    <w:rsid w:val="006E1B9D"/>
    <w:rsid w:val="006E2A53"/>
    <w:rsid w:val="006E2E80"/>
    <w:rsid w:val="006E420E"/>
    <w:rsid w:val="006E4E45"/>
    <w:rsid w:val="006E4E80"/>
    <w:rsid w:val="006E5402"/>
    <w:rsid w:val="006E5501"/>
    <w:rsid w:val="006E5700"/>
    <w:rsid w:val="006E66FA"/>
    <w:rsid w:val="006E7C9D"/>
    <w:rsid w:val="006F0A7E"/>
    <w:rsid w:val="006F0BE6"/>
    <w:rsid w:val="006F129C"/>
    <w:rsid w:val="006F20BB"/>
    <w:rsid w:val="006F2DAD"/>
    <w:rsid w:val="006F2E94"/>
    <w:rsid w:val="006F35BA"/>
    <w:rsid w:val="006F46F8"/>
    <w:rsid w:val="006F4941"/>
    <w:rsid w:val="006F4EF3"/>
    <w:rsid w:val="006F50DF"/>
    <w:rsid w:val="006F51A5"/>
    <w:rsid w:val="006F5203"/>
    <w:rsid w:val="006F55AD"/>
    <w:rsid w:val="006F57C7"/>
    <w:rsid w:val="006F5C7D"/>
    <w:rsid w:val="006F5EC2"/>
    <w:rsid w:val="006F642B"/>
    <w:rsid w:val="006F6940"/>
    <w:rsid w:val="006F7002"/>
    <w:rsid w:val="006F71B1"/>
    <w:rsid w:val="006F72F6"/>
    <w:rsid w:val="006F7D54"/>
    <w:rsid w:val="006F7D73"/>
    <w:rsid w:val="007001B3"/>
    <w:rsid w:val="007009C0"/>
    <w:rsid w:val="00700CC0"/>
    <w:rsid w:val="007019AF"/>
    <w:rsid w:val="00701E47"/>
    <w:rsid w:val="00702AB3"/>
    <w:rsid w:val="00702DB3"/>
    <w:rsid w:val="007036BE"/>
    <w:rsid w:val="00703782"/>
    <w:rsid w:val="00703CA6"/>
    <w:rsid w:val="00704414"/>
    <w:rsid w:val="00704567"/>
    <w:rsid w:val="0070492E"/>
    <w:rsid w:val="00705311"/>
    <w:rsid w:val="007054A1"/>
    <w:rsid w:val="00705D03"/>
    <w:rsid w:val="00705F64"/>
    <w:rsid w:val="00706318"/>
    <w:rsid w:val="00707A9F"/>
    <w:rsid w:val="007104D4"/>
    <w:rsid w:val="0071104D"/>
    <w:rsid w:val="007110DF"/>
    <w:rsid w:val="00712395"/>
    <w:rsid w:val="00712939"/>
    <w:rsid w:val="00712AE7"/>
    <w:rsid w:val="00713D03"/>
    <w:rsid w:val="007142E8"/>
    <w:rsid w:val="00714ADC"/>
    <w:rsid w:val="00714BBC"/>
    <w:rsid w:val="00714DFA"/>
    <w:rsid w:val="00715B53"/>
    <w:rsid w:val="00715FBD"/>
    <w:rsid w:val="007163FD"/>
    <w:rsid w:val="00716472"/>
    <w:rsid w:val="00716517"/>
    <w:rsid w:val="00717641"/>
    <w:rsid w:val="00717C01"/>
    <w:rsid w:val="00717F9D"/>
    <w:rsid w:val="00720660"/>
    <w:rsid w:val="00720C63"/>
    <w:rsid w:val="00720F00"/>
    <w:rsid w:val="0072135B"/>
    <w:rsid w:val="007230C3"/>
    <w:rsid w:val="007231B6"/>
    <w:rsid w:val="007233FE"/>
    <w:rsid w:val="007234A3"/>
    <w:rsid w:val="00723DFE"/>
    <w:rsid w:val="0072401B"/>
    <w:rsid w:val="00724611"/>
    <w:rsid w:val="007248A0"/>
    <w:rsid w:val="00724C5E"/>
    <w:rsid w:val="0072505F"/>
    <w:rsid w:val="00725978"/>
    <w:rsid w:val="00725C04"/>
    <w:rsid w:val="0072605F"/>
    <w:rsid w:val="0072662F"/>
    <w:rsid w:val="0072720C"/>
    <w:rsid w:val="00727D3F"/>
    <w:rsid w:val="00730007"/>
    <w:rsid w:val="00730C29"/>
    <w:rsid w:val="007319EE"/>
    <w:rsid w:val="00731F90"/>
    <w:rsid w:val="00732B32"/>
    <w:rsid w:val="00732C0F"/>
    <w:rsid w:val="00733222"/>
    <w:rsid w:val="00733444"/>
    <w:rsid w:val="00734050"/>
    <w:rsid w:val="0073496B"/>
    <w:rsid w:val="007355DB"/>
    <w:rsid w:val="007357E2"/>
    <w:rsid w:val="00735AAE"/>
    <w:rsid w:val="00737238"/>
    <w:rsid w:val="00737715"/>
    <w:rsid w:val="00740002"/>
    <w:rsid w:val="0074088C"/>
    <w:rsid w:val="00741527"/>
    <w:rsid w:val="00742498"/>
    <w:rsid w:val="007432E8"/>
    <w:rsid w:val="00744191"/>
    <w:rsid w:val="007444AC"/>
    <w:rsid w:val="00744D90"/>
    <w:rsid w:val="0074513B"/>
    <w:rsid w:val="007452CA"/>
    <w:rsid w:val="0074591A"/>
    <w:rsid w:val="00745EDB"/>
    <w:rsid w:val="0074642D"/>
    <w:rsid w:val="007469E3"/>
    <w:rsid w:val="00746BC0"/>
    <w:rsid w:val="00746E25"/>
    <w:rsid w:val="007473EE"/>
    <w:rsid w:val="00747878"/>
    <w:rsid w:val="00747DD7"/>
    <w:rsid w:val="0075028B"/>
    <w:rsid w:val="00751509"/>
    <w:rsid w:val="00751952"/>
    <w:rsid w:val="00751A79"/>
    <w:rsid w:val="00752214"/>
    <w:rsid w:val="0075231A"/>
    <w:rsid w:val="0075298B"/>
    <w:rsid w:val="00752A49"/>
    <w:rsid w:val="00753AA9"/>
    <w:rsid w:val="00753C40"/>
    <w:rsid w:val="00753C9C"/>
    <w:rsid w:val="00754371"/>
    <w:rsid w:val="00755114"/>
    <w:rsid w:val="00755356"/>
    <w:rsid w:val="00755FD2"/>
    <w:rsid w:val="007568DC"/>
    <w:rsid w:val="00756B2A"/>
    <w:rsid w:val="00756FA9"/>
    <w:rsid w:val="00757462"/>
    <w:rsid w:val="007574B9"/>
    <w:rsid w:val="0075777F"/>
    <w:rsid w:val="00757962"/>
    <w:rsid w:val="00757B74"/>
    <w:rsid w:val="0076025F"/>
    <w:rsid w:val="007602D0"/>
    <w:rsid w:val="00760618"/>
    <w:rsid w:val="007609FC"/>
    <w:rsid w:val="00760AA9"/>
    <w:rsid w:val="00760BE7"/>
    <w:rsid w:val="00761F55"/>
    <w:rsid w:val="00763256"/>
    <w:rsid w:val="007635DD"/>
    <w:rsid w:val="00763821"/>
    <w:rsid w:val="00763E9D"/>
    <w:rsid w:val="00764165"/>
    <w:rsid w:val="00764617"/>
    <w:rsid w:val="0076501D"/>
    <w:rsid w:val="0076557D"/>
    <w:rsid w:val="00765ABB"/>
    <w:rsid w:val="00766443"/>
    <w:rsid w:val="007669AA"/>
    <w:rsid w:val="00766ED4"/>
    <w:rsid w:val="0076742D"/>
    <w:rsid w:val="00767F8A"/>
    <w:rsid w:val="00770275"/>
    <w:rsid w:val="007708E1"/>
    <w:rsid w:val="00770AEA"/>
    <w:rsid w:val="00770AF5"/>
    <w:rsid w:val="00770B37"/>
    <w:rsid w:val="00773046"/>
    <w:rsid w:val="007733F8"/>
    <w:rsid w:val="00773662"/>
    <w:rsid w:val="00773E10"/>
    <w:rsid w:val="007741E5"/>
    <w:rsid w:val="007742D7"/>
    <w:rsid w:val="00774405"/>
    <w:rsid w:val="00774B78"/>
    <w:rsid w:val="00774C8A"/>
    <w:rsid w:val="00774F6E"/>
    <w:rsid w:val="00775234"/>
    <w:rsid w:val="00776221"/>
    <w:rsid w:val="00777AA9"/>
    <w:rsid w:val="00780CAC"/>
    <w:rsid w:val="00780D5B"/>
    <w:rsid w:val="007819CD"/>
    <w:rsid w:val="00781A16"/>
    <w:rsid w:val="00781F80"/>
    <w:rsid w:val="00782153"/>
    <w:rsid w:val="00782C58"/>
    <w:rsid w:val="00783B60"/>
    <w:rsid w:val="00783F76"/>
    <w:rsid w:val="0078439E"/>
    <w:rsid w:val="00784F10"/>
    <w:rsid w:val="00785624"/>
    <w:rsid w:val="00785B49"/>
    <w:rsid w:val="00785EF2"/>
    <w:rsid w:val="00785F86"/>
    <w:rsid w:val="00786716"/>
    <w:rsid w:val="00786EEF"/>
    <w:rsid w:val="00787286"/>
    <w:rsid w:val="007872B8"/>
    <w:rsid w:val="00790DD4"/>
    <w:rsid w:val="007919BA"/>
    <w:rsid w:val="007927C8"/>
    <w:rsid w:val="00792BFE"/>
    <w:rsid w:val="007931E8"/>
    <w:rsid w:val="0079376B"/>
    <w:rsid w:val="00793871"/>
    <w:rsid w:val="00794BD1"/>
    <w:rsid w:val="00795389"/>
    <w:rsid w:val="00795D9D"/>
    <w:rsid w:val="00796D74"/>
    <w:rsid w:val="007970A4"/>
    <w:rsid w:val="007972E2"/>
    <w:rsid w:val="00797514"/>
    <w:rsid w:val="007978F0"/>
    <w:rsid w:val="00797DDC"/>
    <w:rsid w:val="00797FAB"/>
    <w:rsid w:val="007A0253"/>
    <w:rsid w:val="007A04CC"/>
    <w:rsid w:val="007A08A8"/>
    <w:rsid w:val="007A17A0"/>
    <w:rsid w:val="007A18B1"/>
    <w:rsid w:val="007A1B6D"/>
    <w:rsid w:val="007A1E5D"/>
    <w:rsid w:val="007A22D6"/>
    <w:rsid w:val="007A285A"/>
    <w:rsid w:val="007A3152"/>
    <w:rsid w:val="007A32B0"/>
    <w:rsid w:val="007A3356"/>
    <w:rsid w:val="007A42A9"/>
    <w:rsid w:val="007A4864"/>
    <w:rsid w:val="007A6645"/>
    <w:rsid w:val="007A6D16"/>
    <w:rsid w:val="007A6D26"/>
    <w:rsid w:val="007A71BD"/>
    <w:rsid w:val="007A73EA"/>
    <w:rsid w:val="007B128C"/>
    <w:rsid w:val="007B1B31"/>
    <w:rsid w:val="007B1D5C"/>
    <w:rsid w:val="007B21A1"/>
    <w:rsid w:val="007B2412"/>
    <w:rsid w:val="007B2692"/>
    <w:rsid w:val="007B2B00"/>
    <w:rsid w:val="007B2E3C"/>
    <w:rsid w:val="007B2F5A"/>
    <w:rsid w:val="007B3ACF"/>
    <w:rsid w:val="007B3EF3"/>
    <w:rsid w:val="007B473A"/>
    <w:rsid w:val="007B47F5"/>
    <w:rsid w:val="007B4E99"/>
    <w:rsid w:val="007B54C7"/>
    <w:rsid w:val="007B5E45"/>
    <w:rsid w:val="007B5E66"/>
    <w:rsid w:val="007B6B25"/>
    <w:rsid w:val="007B6BB2"/>
    <w:rsid w:val="007B7784"/>
    <w:rsid w:val="007B7B42"/>
    <w:rsid w:val="007B7D61"/>
    <w:rsid w:val="007C1AD6"/>
    <w:rsid w:val="007C1B37"/>
    <w:rsid w:val="007C1B7F"/>
    <w:rsid w:val="007C2145"/>
    <w:rsid w:val="007C23A9"/>
    <w:rsid w:val="007C260B"/>
    <w:rsid w:val="007C2A38"/>
    <w:rsid w:val="007C2BD2"/>
    <w:rsid w:val="007C3530"/>
    <w:rsid w:val="007C3C39"/>
    <w:rsid w:val="007C4056"/>
    <w:rsid w:val="007C44E4"/>
    <w:rsid w:val="007C4B08"/>
    <w:rsid w:val="007C4F92"/>
    <w:rsid w:val="007C524C"/>
    <w:rsid w:val="007C57E4"/>
    <w:rsid w:val="007C7223"/>
    <w:rsid w:val="007C72B1"/>
    <w:rsid w:val="007D0012"/>
    <w:rsid w:val="007D08CB"/>
    <w:rsid w:val="007D0C57"/>
    <w:rsid w:val="007D2321"/>
    <w:rsid w:val="007D2538"/>
    <w:rsid w:val="007D333A"/>
    <w:rsid w:val="007D3A09"/>
    <w:rsid w:val="007D3F08"/>
    <w:rsid w:val="007D3FBD"/>
    <w:rsid w:val="007D4418"/>
    <w:rsid w:val="007D4C67"/>
    <w:rsid w:val="007D5651"/>
    <w:rsid w:val="007D58BF"/>
    <w:rsid w:val="007D5A33"/>
    <w:rsid w:val="007D6323"/>
    <w:rsid w:val="007D675F"/>
    <w:rsid w:val="007D6D05"/>
    <w:rsid w:val="007D74A8"/>
    <w:rsid w:val="007D7912"/>
    <w:rsid w:val="007D7B59"/>
    <w:rsid w:val="007E0FC2"/>
    <w:rsid w:val="007E13BA"/>
    <w:rsid w:val="007E17E5"/>
    <w:rsid w:val="007E2AB5"/>
    <w:rsid w:val="007E2D45"/>
    <w:rsid w:val="007E4571"/>
    <w:rsid w:val="007E59FD"/>
    <w:rsid w:val="007E5C7E"/>
    <w:rsid w:val="007E5ECF"/>
    <w:rsid w:val="007E6C6B"/>
    <w:rsid w:val="007E6F74"/>
    <w:rsid w:val="007E7228"/>
    <w:rsid w:val="007F038E"/>
    <w:rsid w:val="007F0775"/>
    <w:rsid w:val="007F09DA"/>
    <w:rsid w:val="007F1E6A"/>
    <w:rsid w:val="007F22A5"/>
    <w:rsid w:val="007F2A56"/>
    <w:rsid w:val="007F3329"/>
    <w:rsid w:val="007F37DE"/>
    <w:rsid w:val="007F389B"/>
    <w:rsid w:val="007F49B9"/>
    <w:rsid w:val="007F49D6"/>
    <w:rsid w:val="007F4CDC"/>
    <w:rsid w:val="007F4FD3"/>
    <w:rsid w:val="007F5021"/>
    <w:rsid w:val="007F50AF"/>
    <w:rsid w:val="007F54D1"/>
    <w:rsid w:val="007F6AF9"/>
    <w:rsid w:val="007F72B1"/>
    <w:rsid w:val="007F73DE"/>
    <w:rsid w:val="007F7C62"/>
    <w:rsid w:val="007F7FDD"/>
    <w:rsid w:val="0080079D"/>
    <w:rsid w:val="0080099B"/>
    <w:rsid w:val="008009C9"/>
    <w:rsid w:val="00800A9F"/>
    <w:rsid w:val="00801330"/>
    <w:rsid w:val="00801C9E"/>
    <w:rsid w:val="00801CE2"/>
    <w:rsid w:val="008020B7"/>
    <w:rsid w:val="00802471"/>
    <w:rsid w:val="00802BFD"/>
    <w:rsid w:val="00802DAE"/>
    <w:rsid w:val="00802FEE"/>
    <w:rsid w:val="00803857"/>
    <w:rsid w:val="00803DD2"/>
    <w:rsid w:val="008048D3"/>
    <w:rsid w:val="00805C94"/>
    <w:rsid w:val="00805D25"/>
    <w:rsid w:val="008062BC"/>
    <w:rsid w:val="008065F3"/>
    <w:rsid w:val="00806805"/>
    <w:rsid w:val="008069CB"/>
    <w:rsid w:val="008073B4"/>
    <w:rsid w:val="00807851"/>
    <w:rsid w:val="00810040"/>
    <w:rsid w:val="008100B5"/>
    <w:rsid w:val="008102E6"/>
    <w:rsid w:val="008106B2"/>
    <w:rsid w:val="00810901"/>
    <w:rsid w:val="00810AFB"/>
    <w:rsid w:val="0081201B"/>
    <w:rsid w:val="0081346A"/>
    <w:rsid w:val="00813BE1"/>
    <w:rsid w:val="008143EF"/>
    <w:rsid w:val="008147DE"/>
    <w:rsid w:val="008151FC"/>
    <w:rsid w:val="008158A4"/>
    <w:rsid w:val="00815C57"/>
    <w:rsid w:val="00816327"/>
    <w:rsid w:val="00816755"/>
    <w:rsid w:val="008168AC"/>
    <w:rsid w:val="00817729"/>
    <w:rsid w:val="00820DD0"/>
    <w:rsid w:val="008210F3"/>
    <w:rsid w:val="00821C35"/>
    <w:rsid w:val="008226DC"/>
    <w:rsid w:val="008229C1"/>
    <w:rsid w:val="0082423B"/>
    <w:rsid w:val="008245AF"/>
    <w:rsid w:val="008247FB"/>
    <w:rsid w:val="00824812"/>
    <w:rsid w:val="00824C54"/>
    <w:rsid w:val="008251E1"/>
    <w:rsid w:val="008254E8"/>
    <w:rsid w:val="00825FA1"/>
    <w:rsid w:val="00827DBE"/>
    <w:rsid w:val="00827DC0"/>
    <w:rsid w:val="00830453"/>
    <w:rsid w:val="00831218"/>
    <w:rsid w:val="00832F7D"/>
    <w:rsid w:val="00833A19"/>
    <w:rsid w:val="00834031"/>
    <w:rsid w:val="008340B1"/>
    <w:rsid w:val="00834447"/>
    <w:rsid w:val="008347F0"/>
    <w:rsid w:val="00834810"/>
    <w:rsid w:val="0083505F"/>
    <w:rsid w:val="00835667"/>
    <w:rsid w:val="00835E1F"/>
    <w:rsid w:val="00837270"/>
    <w:rsid w:val="0084054E"/>
    <w:rsid w:val="00840E41"/>
    <w:rsid w:val="0084122E"/>
    <w:rsid w:val="00841524"/>
    <w:rsid w:val="00841FBE"/>
    <w:rsid w:val="0084279C"/>
    <w:rsid w:val="008429B4"/>
    <w:rsid w:val="00844FFB"/>
    <w:rsid w:val="008473C9"/>
    <w:rsid w:val="00847F12"/>
    <w:rsid w:val="00847F92"/>
    <w:rsid w:val="008507B6"/>
    <w:rsid w:val="00850917"/>
    <w:rsid w:val="008524B6"/>
    <w:rsid w:val="008525B4"/>
    <w:rsid w:val="00852D30"/>
    <w:rsid w:val="0085358B"/>
    <w:rsid w:val="008538DF"/>
    <w:rsid w:val="008545CB"/>
    <w:rsid w:val="008552BD"/>
    <w:rsid w:val="0085536C"/>
    <w:rsid w:val="0085536E"/>
    <w:rsid w:val="008566F3"/>
    <w:rsid w:val="00857027"/>
    <w:rsid w:val="008574E7"/>
    <w:rsid w:val="0086072A"/>
    <w:rsid w:val="0086078F"/>
    <w:rsid w:val="00860E5A"/>
    <w:rsid w:val="008622EC"/>
    <w:rsid w:val="0086358C"/>
    <w:rsid w:val="00864276"/>
    <w:rsid w:val="008646AA"/>
    <w:rsid w:val="00864C6A"/>
    <w:rsid w:val="00865018"/>
    <w:rsid w:val="008653B8"/>
    <w:rsid w:val="00866178"/>
    <w:rsid w:val="008667D7"/>
    <w:rsid w:val="00871092"/>
    <w:rsid w:val="00871955"/>
    <w:rsid w:val="00871BC6"/>
    <w:rsid w:val="008723F5"/>
    <w:rsid w:val="00873B32"/>
    <w:rsid w:val="00873BE4"/>
    <w:rsid w:val="00873C68"/>
    <w:rsid w:val="00874860"/>
    <w:rsid w:val="00874BF8"/>
    <w:rsid w:val="00874F79"/>
    <w:rsid w:val="008753A8"/>
    <w:rsid w:val="008756F0"/>
    <w:rsid w:val="0087593F"/>
    <w:rsid w:val="008763A2"/>
    <w:rsid w:val="00876746"/>
    <w:rsid w:val="00876C82"/>
    <w:rsid w:val="0087777F"/>
    <w:rsid w:val="008779AF"/>
    <w:rsid w:val="00880084"/>
    <w:rsid w:val="00880742"/>
    <w:rsid w:val="00880D0A"/>
    <w:rsid w:val="008810E7"/>
    <w:rsid w:val="00882209"/>
    <w:rsid w:val="008822B5"/>
    <w:rsid w:val="0088261E"/>
    <w:rsid w:val="00882D1F"/>
    <w:rsid w:val="00883251"/>
    <w:rsid w:val="00883291"/>
    <w:rsid w:val="008832C7"/>
    <w:rsid w:val="00883F07"/>
    <w:rsid w:val="00884206"/>
    <w:rsid w:val="0088484D"/>
    <w:rsid w:val="00884AC7"/>
    <w:rsid w:val="008852C7"/>
    <w:rsid w:val="0088531B"/>
    <w:rsid w:val="008858AF"/>
    <w:rsid w:val="00885A72"/>
    <w:rsid w:val="00886650"/>
    <w:rsid w:val="0088736C"/>
    <w:rsid w:val="00887385"/>
    <w:rsid w:val="00887486"/>
    <w:rsid w:val="00887C63"/>
    <w:rsid w:val="00887F88"/>
    <w:rsid w:val="00890E39"/>
    <w:rsid w:val="00891722"/>
    <w:rsid w:val="00891806"/>
    <w:rsid w:val="00892228"/>
    <w:rsid w:val="00892D9D"/>
    <w:rsid w:val="00893BD6"/>
    <w:rsid w:val="00893C40"/>
    <w:rsid w:val="00895E93"/>
    <w:rsid w:val="00895FD6"/>
    <w:rsid w:val="0089707A"/>
    <w:rsid w:val="00897961"/>
    <w:rsid w:val="008A0386"/>
    <w:rsid w:val="008A0A97"/>
    <w:rsid w:val="008A0EEE"/>
    <w:rsid w:val="008A211C"/>
    <w:rsid w:val="008A29CB"/>
    <w:rsid w:val="008A2E84"/>
    <w:rsid w:val="008A3034"/>
    <w:rsid w:val="008A34B5"/>
    <w:rsid w:val="008A372C"/>
    <w:rsid w:val="008A400B"/>
    <w:rsid w:val="008A4040"/>
    <w:rsid w:val="008A4E26"/>
    <w:rsid w:val="008A4F0E"/>
    <w:rsid w:val="008A63F1"/>
    <w:rsid w:val="008A6989"/>
    <w:rsid w:val="008A6B9D"/>
    <w:rsid w:val="008A7435"/>
    <w:rsid w:val="008B019E"/>
    <w:rsid w:val="008B0842"/>
    <w:rsid w:val="008B1BC7"/>
    <w:rsid w:val="008B1DB7"/>
    <w:rsid w:val="008B2049"/>
    <w:rsid w:val="008B22D2"/>
    <w:rsid w:val="008B272D"/>
    <w:rsid w:val="008B2DF6"/>
    <w:rsid w:val="008B2E31"/>
    <w:rsid w:val="008B2FD4"/>
    <w:rsid w:val="008B40E5"/>
    <w:rsid w:val="008B43BB"/>
    <w:rsid w:val="008B764C"/>
    <w:rsid w:val="008C1000"/>
    <w:rsid w:val="008C176A"/>
    <w:rsid w:val="008C3F54"/>
    <w:rsid w:val="008C40D7"/>
    <w:rsid w:val="008C5ACB"/>
    <w:rsid w:val="008C5D30"/>
    <w:rsid w:val="008C61FB"/>
    <w:rsid w:val="008C6667"/>
    <w:rsid w:val="008C6821"/>
    <w:rsid w:val="008C73C4"/>
    <w:rsid w:val="008C7678"/>
    <w:rsid w:val="008C7703"/>
    <w:rsid w:val="008D04A2"/>
    <w:rsid w:val="008D1444"/>
    <w:rsid w:val="008D1872"/>
    <w:rsid w:val="008D18F5"/>
    <w:rsid w:val="008D2938"/>
    <w:rsid w:val="008D2A19"/>
    <w:rsid w:val="008D3B42"/>
    <w:rsid w:val="008D3E91"/>
    <w:rsid w:val="008D3FCD"/>
    <w:rsid w:val="008D4508"/>
    <w:rsid w:val="008D5399"/>
    <w:rsid w:val="008D59F2"/>
    <w:rsid w:val="008D62D4"/>
    <w:rsid w:val="008D694C"/>
    <w:rsid w:val="008D697E"/>
    <w:rsid w:val="008D6E9A"/>
    <w:rsid w:val="008D71E2"/>
    <w:rsid w:val="008D72CA"/>
    <w:rsid w:val="008D7BBD"/>
    <w:rsid w:val="008D7BE7"/>
    <w:rsid w:val="008D7C9B"/>
    <w:rsid w:val="008D7F64"/>
    <w:rsid w:val="008D7F72"/>
    <w:rsid w:val="008E07AB"/>
    <w:rsid w:val="008E0E29"/>
    <w:rsid w:val="008E1630"/>
    <w:rsid w:val="008E2518"/>
    <w:rsid w:val="008E28ED"/>
    <w:rsid w:val="008E333E"/>
    <w:rsid w:val="008E39C2"/>
    <w:rsid w:val="008E3B18"/>
    <w:rsid w:val="008E67B9"/>
    <w:rsid w:val="008E6A0D"/>
    <w:rsid w:val="008E6A8A"/>
    <w:rsid w:val="008E6CE3"/>
    <w:rsid w:val="008E7A3B"/>
    <w:rsid w:val="008E7DE3"/>
    <w:rsid w:val="008F049A"/>
    <w:rsid w:val="008F0804"/>
    <w:rsid w:val="008F0E54"/>
    <w:rsid w:val="008F0FB6"/>
    <w:rsid w:val="008F1353"/>
    <w:rsid w:val="008F1B2A"/>
    <w:rsid w:val="008F1B50"/>
    <w:rsid w:val="008F1DE7"/>
    <w:rsid w:val="008F26FA"/>
    <w:rsid w:val="008F3CC6"/>
    <w:rsid w:val="008F4805"/>
    <w:rsid w:val="008F4A65"/>
    <w:rsid w:val="008F63EF"/>
    <w:rsid w:val="008F63FF"/>
    <w:rsid w:val="008F65F5"/>
    <w:rsid w:val="009004AA"/>
    <w:rsid w:val="00900A95"/>
    <w:rsid w:val="00900DE3"/>
    <w:rsid w:val="0090132D"/>
    <w:rsid w:val="00902751"/>
    <w:rsid w:val="009028AB"/>
    <w:rsid w:val="00902E93"/>
    <w:rsid w:val="00902F9B"/>
    <w:rsid w:val="009036B3"/>
    <w:rsid w:val="009057D0"/>
    <w:rsid w:val="00905900"/>
    <w:rsid w:val="00905E07"/>
    <w:rsid w:val="00905E82"/>
    <w:rsid w:val="009069C0"/>
    <w:rsid w:val="009069C1"/>
    <w:rsid w:val="009069F3"/>
    <w:rsid w:val="00906E4F"/>
    <w:rsid w:val="00907092"/>
    <w:rsid w:val="0090709D"/>
    <w:rsid w:val="00907CE8"/>
    <w:rsid w:val="00907D9C"/>
    <w:rsid w:val="00907DCC"/>
    <w:rsid w:val="00907EDB"/>
    <w:rsid w:val="0091023E"/>
    <w:rsid w:val="009106EA"/>
    <w:rsid w:val="0091099B"/>
    <w:rsid w:val="00911DE4"/>
    <w:rsid w:val="00911E8B"/>
    <w:rsid w:val="00911F1F"/>
    <w:rsid w:val="009124E8"/>
    <w:rsid w:val="009126A4"/>
    <w:rsid w:val="00912B4A"/>
    <w:rsid w:val="0091375F"/>
    <w:rsid w:val="009138A6"/>
    <w:rsid w:val="009157CE"/>
    <w:rsid w:val="00915A22"/>
    <w:rsid w:val="00916128"/>
    <w:rsid w:val="00916F6B"/>
    <w:rsid w:val="0091778F"/>
    <w:rsid w:val="00917CAE"/>
    <w:rsid w:val="00917F22"/>
    <w:rsid w:val="0092036A"/>
    <w:rsid w:val="00920D27"/>
    <w:rsid w:val="00921955"/>
    <w:rsid w:val="0092261A"/>
    <w:rsid w:val="00923704"/>
    <w:rsid w:val="00924653"/>
    <w:rsid w:val="00924EC5"/>
    <w:rsid w:val="00926FBA"/>
    <w:rsid w:val="009274BC"/>
    <w:rsid w:val="00927E1B"/>
    <w:rsid w:val="00930426"/>
    <w:rsid w:val="00930710"/>
    <w:rsid w:val="00931D61"/>
    <w:rsid w:val="00932280"/>
    <w:rsid w:val="00932367"/>
    <w:rsid w:val="00932F38"/>
    <w:rsid w:val="00933035"/>
    <w:rsid w:val="009334DF"/>
    <w:rsid w:val="009335EE"/>
    <w:rsid w:val="00933804"/>
    <w:rsid w:val="0093390A"/>
    <w:rsid w:val="00933EB6"/>
    <w:rsid w:val="009347D0"/>
    <w:rsid w:val="00936C53"/>
    <w:rsid w:val="00937E58"/>
    <w:rsid w:val="00940C50"/>
    <w:rsid w:val="00941B9C"/>
    <w:rsid w:val="009424D8"/>
    <w:rsid w:val="00942FF5"/>
    <w:rsid w:val="009436EB"/>
    <w:rsid w:val="00943855"/>
    <w:rsid w:val="00943B1C"/>
    <w:rsid w:val="00944B02"/>
    <w:rsid w:val="00944F9F"/>
    <w:rsid w:val="0094501B"/>
    <w:rsid w:val="00946AA2"/>
    <w:rsid w:val="00946C50"/>
    <w:rsid w:val="00946EE8"/>
    <w:rsid w:val="0094754F"/>
    <w:rsid w:val="00947DDE"/>
    <w:rsid w:val="00951025"/>
    <w:rsid w:val="009515C7"/>
    <w:rsid w:val="0095186F"/>
    <w:rsid w:val="009520F8"/>
    <w:rsid w:val="0095277C"/>
    <w:rsid w:val="009528D5"/>
    <w:rsid w:val="00952C4D"/>
    <w:rsid w:val="00952F7C"/>
    <w:rsid w:val="009532BB"/>
    <w:rsid w:val="009538AB"/>
    <w:rsid w:val="00953E54"/>
    <w:rsid w:val="00953F28"/>
    <w:rsid w:val="00953FD1"/>
    <w:rsid w:val="00954122"/>
    <w:rsid w:val="00954867"/>
    <w:rsid w:val="009548EB"/>
    <w:rsid w:val="009549F6"/>
    <w:rsid w:val="00954AA6"/>
    <w:rsid w:val="00954BB9"/>
    <w:rsid w:val="00955449"/>
    <w:rsid w:val="00955A9F"/>
    <w:rsid w:val="00955AA3"/>
    <w:rsid w:val="00956187"/>
    <w:rsid w:val="0095660C"/>
    <w:rsid w:val="00956FDB"/>
    <w:rsid w:val="009575C3"/>
    <w:rsid w:val="009579AE"/>
    <w:rsid w:val="00960AC0"/>
    <w:rsid w:val="009614A5"/>
    <w:rsid w:val="00961673"/>
    <w:rsid w:val="00962625"/>
    <w:rsid w:val="00962A40"/>
    <w:rsid w:val="00962B40"/>
    <w:rsid w:val="00962E70"/>
    <w:rsid w:val="0096313A"/>
    <w:rsid w:val="0096341C"/>
    <w:rsid w:val="0096378F"/>
    <w:rsid w:val="00964621"/>
    <w:rsid w:val="00964843"/>
    <w:rsid w:val="0096577E"/>
    <w:rsid w:val="00965F89"/>
    <w:rsid w:val="0096614A"/>
    <w:rsid w:val="0096619E"/>
    <w:rsid w:val="009661E0"/>
    <w:rsid w:val="00966BCB"/>
    <w:rsid w:val="00966E91"/>
    <w:rsid w:val="00971FB8"/>
    <w:rsid w:val="00972AA5"/>
    <w:rsid w:val="00972F77"/>
    <w:rsid w:val="0097400D"/>
    <w:rsid w:val="00974E3A"/>
    <w:rsid w:val="0097517D"/>
    <w:rsid w:val="00975AFF"/>
    <w:rsid w:val="009762DD"/>
    <w:rsid w:val="0097662F"/>
    <w:rsid w:val="0097731D"/>
    <w:rsid w:val="00977E5F"/>
    <w:rsid w:val="00980FF1"/>
    <w:rsid w:val="00981671"/>
    <w:rsid w:val="00981BE9"/>
    <w:rsid w:val="00983422"/>
    <w:rsid w:val="009835D3"/>
    <w:rsid w:val="009842AE"/>
    <w:rsid w:val="00985552"/>
    <w:rsid w:val="00985D89"/>
    <w:rsid w:val="009863B3"/>
    <w:rsid w:val="00986534"/>
    <w:rsid w:val="00986723"/>
    <w:rsid w:val="00986CDD"/>
    <w:rsid w:val="00987230"/>
    <w:rsid w:val="009877FC"/>
    <w:rsid w:val="00987C3D"/>
    <w:rsid w:val="00987FF7"/>
    <w:rsid w:val="0099082F"/>
    <w:rsid w:val="00990834"/>
    <w:rsid w:val="009915EA"/>
    <w:rsid w:val="00991A4F"/>
    <w:rsid w:val="00991FEC"/>
    <w:rsid w:val="0099255E"/>
    <w:rsid w:val="009928BD"/>
    <w:rsid w:val="00992DF0"/>
    <w:rsid w:val="00993276"/>
    <w:rsid w:val="00993946"/>
    <w:rsid w:val="00993AB3"/>
    <w:rsid w:val="00994491"/>
    <w:rsid w:val="009953F7"/>
    <w:rsid w:val="00995A80"/>
    <w:rsid w:val="00996B62"/>
    <w:rsid w:val="00997030"/>
    <w:rsid w:val="009974CC"/>
    <w:rsid w:val="0099770E"/>
    <w:rsid w:val="009A0986"/>
    <w:rsid w:val="009A143F"/>
    <w:rsid w:val="009A1997"/>
    <w:rsid w:val="009A2AC4"/>
    <w:rsid w:val="009A3050"/>
    <w:rsid w:val="009A3342"/>
    <w:rsid w:val="009A349D"/>
    <w:rsid w:val="009A4307"/>
    <w:rsid w:val="009A5390"/>
    <w:rsid w:val="009A5489"/>
    <w:rsid w:val="009A601D"/>
    <w:rsid w:val="009A632E"/>
    <w:rsid w:val="009A6BDD"/>
    <w:rsid w:val="009A7DB5"/>
    <w:rsid w:val="009B0045"/>
    <w:rsid w:val="009B0579"/>
    <w:rsid w:val="009B0B90"/>
    <w:rsid w:val="009B1775"/>
    <w:rsid w:val="009B195B"/>
    <w:rsid w:val="009B1A13"/>
    <w:rsid w:val="009B2BB7"/>
    <w:rsid w:val="009B2D4F"/>
    <w:rsid w:val="009B2E95"/>
    <w:rsid w:val="009B378C"/>
    <w:rsid w:val="009B3D4B"/>
    <w:rsid w:val="009B3F83"/>
    <w:rsid w:val="009B4569"/>
    <w:rsid w:val="009B4608"/>
    <w:rsid w:val="009B4723"/>
    <w:rsid w:val="009B5618"/>
    <w:rsid w:val="009B5996"/>
    <w:rsid w:val="009B70F8"/>
    <w:rsid w:val="009B7C5D"/>
    <w:rsid w:val="009B7DE5"/>
    <w:rsid w:val="009C0A6C"/>
    <w:rsid w:val="009C1960"/>
    <w:rsid w:val="009C1FCD"/>
    <w:rsid w:val="009C3B17"/>
    <w:rsid w:val="009C4393"/>
    <w:rsid w:val="009C4C2B"/>
    <w:rsid w:val="009C4F1D"/>
    <w:rsid w:val="009C54E0"/>
    <w:rsid w:val="009C55F9"/>
    <w:rsid w:val="009C5860"/>
    <w:rsid w:val="009C653B"/>
    <w:rsid w:val="009C6700"/>
    <w:rsid w:val="009C6EC3"/>
    <w:rsid w:val="009C7C47"/>
    <w:rsid w:val="009D003E"/>
    <w:rsid w:val="009D08CB"/>
    <w:rsid w:val="009D13B5"/>
    <w:rsid w:val="009D2B88"/>
    <w:rsid w:val="009D3B25"/>
    <w:rsid w:val="009D3DCD"/>
    <w:rsid w:val="009D4921"/>
    <w:rsid w:val="009D4C9F"/>
    <w:rsid w:val="009D4F07"/>
    <w:rsid w:val="009D5049"/>
    <w:rsid w:val="009D63D3"/>
    <w:rsid w:val="009D7528"/>
    <w:rsid w:val="009D7730"/>
    <w:rsid w:val="009D7A88"/>
    <w:rsid w:val="009E0199"/>
    <w:rsid w:val="009E09F9"/>
    <w:rsid w:val="009E0DA7"/>
    <w:rsid w:val="009E0ED8"/>
    <w:rsid w:val="009E1D16"/>
    <w:rsid w:val="009E3D51"/>
    <w:rsid w:val="009E48C8"/>
    <w:rsid w:val="009E4AAA"/>
    <w:rsid w:val="009E4C54"/>
    <w:rsid w:val="009E4D34"/>
    <w:rsid w:val="009E5A0E"/>
    <w:rsid w:val="009E67E9"/>
    <w:rsid w:val="009E72B8"/>
    <w:rsid w:val="009E7BA7"/>
    <w:rsid w:val="009F0248"/>
    <w:rsid w:val="009F0633"/>
    <w:rsid w:val="009F07F1"/>
    <w:rsid w:val="009F12C2"/>
    <w:rsid w:val="009F1CFE"/>
    <w:rsid w:val="009F1EBA"/>
    <w:rsid w:val="009F1F09"/>
    <w:rsid w:val="009F1F7D"/>
    <w:rsid w:val="009F1FA8"/>
    <w:rsid w:val="009F21F2"/>
    <w:rsid w:val="009F29F9"/>
    <w:rsid w:val="009F2CCC"/>
    <w:rsid w:val="009F32BE"/>
    <w:rsid w:val="009F39B6"/>
    <w:rsid w:val="009F5141"/>
    <w:rsid w:val="009F5145"/>
    <w:rsid w:val="009F5766"/>
    <w:rsid w:val="009F5CA7"/>
    <w:rsid w:val="009F60D8"/>
    <w:rsid w:val="009F6A80"/>
    <w:rsid w:val="009F6CEA"/>
    <w:rsid w:val="009F6FBB"/>
    <w:rsid w:val="009F74F9"/>
    <w:rsid w:val="009F7D84"/>
    <w:rsid w:val="00A002DA"/>
    <w:rsid w:val="00A004A8"/>
    <w:rsid w:val="00A0176C"/>
    <w:rsid w:val="00A017B4"/>
    <w:rsid w:val="00A01F38"/>
    <w:rsid w:val="00A02B0C"/>
    <w:rsid w:val="00A03012"/>
    <w:rsid w:val="00A03A77"/>
    <w:rsid w:val="00A04C82"/>
    <w:rsid w:val="00A0532D"/>
    <w:rsid w:val="00A055D7"/>
    <w:rsid w:val="00A05B09"/>
    <w:rsid w:val="00A06384"/>
    <w:rsid w:val="00A068C2"/>
    <w:rsid w:val="00A06C99"/>
    <w:rsid w:val="00A077F5"/>
    <w:rsid w:val="00A07D05"/>
    <w:rsid w:val="00A1015A"/>
    <w:rsid w:val="00A1067B"/>
    <w:rsid w:val="00A10A7F"/>
    <w:rsid w:val="00A10DDD"/>
    <w:rsid w:val="00A117E3"/>
    <w:rsid w:val="00A11E9F"/>
    <w:rsid w:val="00A12492"/>
    <w:rsid w:val="00A139CF"/>
    <w:rsid w:val="00A13DDB"/>
    <w:rsid w:val="00A13DFD"/>
    <w:rsid w:val="00A15233"/>
    <w:rsid w:val="00A15533"/>
    <w:rsid w:val="00A1610A"/>
    <w:rsid w:val="00A17569"/>
    <w:rsid w:val="00A20727"/>
    <w:rsid w:val="00A21A1D"/>
    <w:rsid w:val="00A21D5B"/>
    <w:rsid w:val="00A21F2C"/>
    <w:rsid w:val="00A220BA"/>
    <w:rsid w:val="00A2266C"/>
    <w:rsid w:val="00A22905"/>
    <w:rsid w:val="00A22A25"/>
    <w:rsid w:val="00A2324C"/>
    <w:rsid w:val="00A23C2A"/>
    <w:rsid w:val="00A23E16"/>
    <w:rsid w:val="00A2460B"/>
    <w:rsid w:val="00A246E2"/>
    <w:rsid w:val="00A24E9F"/>
    <w:rsid w:val="00A24F0D"/>
    <w:rsid w:val="00A25E56"/>
    <w:rsid w:val="00A27335"/>
    <w:rsid w:val="00A27810"/>
    <w:rsid w:val="00A313E7"/>
    <w:rsid w:val="00A330F6"/>
    <w:rsid w:val="00A33876"/>
    <w:rsid w:val="00A3399B"/>
    <w:rsid w:val="00A33C39"/>
    <w:rsid w:val="00A33DDA"/>
    <w:rsid w:val="00A35845"/>
    <w:rsid w:val="00A35C71"/>
    <w:rsid w:val="00A35D22"/>
    <w:rsid w:val="00A36430"/>
    <w:rsid w:val="00A36970"/>
    <w:rsid w:val="00A374FA"/>
    <w:rsid w:val="00A41D45"/>
    <w:rsid w:val="00A42618"/>
    <w:rsid w:val="00A42DB2"/>
    <w:rsid w:val="00A42E13"/>
    <w:rsid w:val="00A4436C"/>
    <w:rsid w:val="00A44533"/>
    <w:rsid w:val="00A447E3"/>
    <w:rsid w:val="00A449D1"/>
    <w:rsid w:val="00A456B4"/>
    <w:rsid w:val="00A45844"/>
    <w:rsid w:val="00A4599A"/>
    <w:rsid w:val="00A4726D"/>
    <w:rsid w:val="00A479B2"/>
    <w:rsid w:val="00A47DB2"/>
    <w:rsid w:val="00A50731"/>
    <w:rsid w:val="00A50A48"/>
    <w:rsid w:val="00A50CA9"/>
    <w:rsid w:val="00A518C1"/>
    <w:rsid w:val="00A51FB3"/>
    <w:rsid w:val="00A52B6E"/>
    <w:rsid w:val="00A530AB"/>
    <w:rsid w:val="00A5313D"/>
    <w:rsid w:val="00A5327B"/>
    <w:rsid w:val="00A53437"/>
    <w:rsid w:val="00A53A40"/>
    <w:rsid w:val="00A546E8"/>
    <w:rsid w:val="00A54E04"/>
    <w:rsid w:val="00A553CE"/>
    <w:rsid w:val="00A55BAA"/>
    <w:rsid w:val="00A564ED"/>
    <w:rsid w:val="00A56611"/>
    <w:rsid w:val="00A56ED4"/>
    <w:rsid w:val="00A57CD4"/>
    <w:rsid w:val="00A61042"/>
    <w:rsid w:val="00A611F8"/>
    <w:rsid w:val="00A620A3"/>
    <w:rsid w:val="00A62EA9"/>
    <w:rsid w:val="00A6334E"/>
    <w:rsid w:val="00A6349F"/>
    <w:rsid w:val="00A64BD7"/>
    <w:rsid w:val="00A65426"/>
    <w:rsid w:val="00A65B33"/>
    <w:rsid w:val="00A676C7"/>
    <w:rsid w:val="00A67C61"/>
    <w:rsid w:val="00A70052"/>
    <w:rsid w:val="00A70471"/>
    <w:rsid w:val="00A706AE"/>
    <w:rsid w:val="00A70749"/>
    <w:rsid w:val="00A71660"/>
    <w:rsid w:val="00A721EB"/>
    <w:rsid w:val="00A72320"/>
    <w:rsid w:val="00A72A40"/>
    <w:rsid w:val="00A72B6A"/>
    <w:rsid w:val="00A73867"/>
    <w:rsid w:val="00A74566"/>
    <w:rsid w:val="00A749C2"/>
    <w:rsid w:val="00A750EF"/>
    <w:rsid w:val="00A75315"/>
    <w:rsid w:val="00A75C31"/>
    <w:rsid w:val="00A777B6"/>
    <w:rsid w:val="00A80BF3"/>
    <w:rsid w:val="00A80C90"/>
    <w:rsid w:val="00A80D09"/>
    <w:rsid w:val="00A81867"/>
    <w:rsid w:val="00A827C2"/>
    <w:rsid w:val="00A83335"/>
    <w:rsid w:val="00A834D0"/>
    <w:rsid w:val="00A83781"/>
    <w:rsid w:val="00A83FDB"/>
    <w:rsid w:val="00A84BE5"/>
    <w:rsid w:val="00A84C2D"/>
    <w:rsid w:val="00A85054"/>
    <w:rsid w:val="00A863AA"/>
    <w:rsid w:val="00A86F57"/>
    <w:rsid w:val="00A87354"/>
    <w:rsid w:val="00A8740E"/>
    <w:rsid w:val="00A87545"/>
    <w:rsid w:val="00A87B5F"/>
    <w:rsid w:val="00A90A94"/>
    <w:rsid w:val="00A916E8"/>
    <w:rsid w:val="00A91846"/>
    <w:rsid w:val="00A91CB8"/>
    <w:rsid w:val="00A91E55"/>
    <w:rsid w:val="00A930D3"/>
    <w:rsid w:val="00A9408D"/>
    <w:rsid w:val="00A94A37"/>
    <w:rsid w:val="00A9557E"/>
    <w:rsid w:val="00A9630C"/>
    <w:rsid w:val="00A969C3"/>
    <w:rsid w:val="00AA0289"/>
    <w:rsid w:val="00AA043C"/>
    <w:rsid w:val="00AA0747"/>
    <w:rsid w:val="00AA0FE2"/>
    <w:rsid w:val="00AA13E3"/>
    <w:rsid w:val="00AA191D"/>
    <w:rsid w:val="00AA2C85"/>
    <w:rsid w:val="00AA2DA8"/>
    <w:rsid w:val="00AA3115"/>
    <w:rsid w:val="00AA313F"/>
    <w:rsid w:val="00AA52A1"/>
    <w:rsid w:val="00AA5525"/>
    <w:rsid w:val="00AA5757"/>
    <w:rsid w:val="00AA5C77"/>
    <w:rsid w:val="00AA6997"/>
    <w:rsid w:val="00AA6E26"/>
    <w:rsid w:val="00AA73ED"/>
    <w:rsid w:val="00AA74C7"/>
    <w:rsid w:val="00AA754B"/>
    <w:rsid w:val="00AA7B78"/>
    <w:rsid w:val="00AA7F4D"/>
    <w:rsid w:val="00AA7FCE"/>
    <w:rsid w:val="00AB1266"/>
    <w:rsid w:val="00AB35BA"/>
    <w:rsid w:val="00AB3E76"/>
    <w:rsid w:val="00AB405D"/>
    <w:rsid w:val="00AB4B0B"/>
    <w:rsid w:val="00AB551E"/>
    <w:rsid w:val="00AB56B5"/>
    <w:rsid w:val="00AB58E8"/>
    <w:rsid w:val="00AB6527"/>
    <w:rsid w:val="00AB67E7"/>
    <w:rsid w:val="00AB71FD"/>
    <w:rsid w:val="00AB72DF"/>
    <w:rsid w:val="00AB748F"/>
    <w:rsid w:val="00AB7A13"/>
    <w:rsid w:val="00AB7AE2"/>
    <w:rsid w:val="00AB7DAC"/>
    <w:rsid w:val="00AC0DC9"/>
    <w:rsid w:val="00AC0EAF"/>
    <w:rsid w:val="00AC1AF8"/>
    <w:rsid w:val="00AC22C4"/>
    <w:rsid w:val="00AC2A8F"/>
    <w:rsid w:val="00AC32B4"/>
    <w:rsid w:val="00AC3E30"/>
    <w:rsid w:val="00AC430D"/>
    <w:rsid w:val="00AC4D9B"/>
    <w:rsid w:val="00AC5CD7"/>
    <w:rsid w:val="00AC747D"/>
    <w:rsid w:val="00AC78FB"/>
    <w:rsid w:val="00AC7E31"/>
    <w:rsid w:val="00AD092B"/>
    <w:rsid w:val="00AD1A2F"/>
    <w:rsid w:val="00AD285F"/>
    <w:rsid w:val="00AD2E9C"/>
    <w:rsid w:val="00AD3921"/>
    <w:rsid w:val="00AD3F41"/>
    <w:rsid w:val="00AD51EA"/>
    <w:rsid w:val="00AD6B1B"/>
    <w:rsid w:val="00AD70AF"/>
    <w:rsid w:val="00AD7B08"/>
    <w:rsid w:val="00AD7C30"/>
    <w:rsid w:val="00AD7DF5"/>
    <w:rsid w:val="00AE010C"/>
    <w:rsid w:val="00AE13A3"/>
    <w:rsid w:val="00AE1F3E"/>
    <w:rsid w:val="00AE1F9F"/>
    <w:rsid w:val="00AE2DAB"/>
    <w:rsid w:val="00AE2EF6"/>
    <w:rsid w:val="00AE3031"/>
    <w:rsid w:val="00AE3853"/>
    <w:rsid w:val="00AE4DD0"/>
    <w:rsid w:val="00AE50BA"/>
    <w:rsid w:val="00AE601D"/>
    <w:rsid w:val="00AE65CA"/>
    <w:rsid w:val="00AE65D4"/>
    <w:rsid w:val="00AE66D9"/>
    <w:rsid w:val="00AE6962"/>
    <w:rsid w:val="00AE6A59"/>
    <w:rsid w:val="00AE7147"/>
    <w:rsid w:val="00AE79F5"/>
    <w:rsid w:val="00AE7EB8"/>
    <w:rsid w:val="00AF0A81"/>
    <w:rsid w:val="00AF0B73"/>
    <w:rsid w:val="00AF1184"/>
    <w:rsid w:val="00AF1854"/>
    <w:rsid w:val="00AF1893"/>
    <w:rsid w:val="00AF1D2B"/>
    <w:rsid w:val="00AF2268"/>
    <w:rsid w:val="00AF2271"/>
    <w:rsid w:val="00AF2673"/>
    <w:rsid w:val="00AF27F3"/>
    <w:rsid w:val="00AF2B41"/>
    <w:rsid w:val="00AF34BB"/>
    <w:rsid w:val="00AF405A"/>
    <w:rsid w:val="00AF4298"/>
    <w:rsid w:val="00AF502F"/>
    <w:rsid w:val="00AF5114"/>
    <w:rsid w:val="00AF62E6"/>
    <w:rsid w:val="00AF6723"/>
    <w:rsid w:val="00AF6C05"/>
    <w:rsid w:val="00AF6C9E"/>
    <w:rsid w:val="00AF7803"/>
    <w:rsid w:val="00B0015C"/>
    <w:rsid w:val="00B00AB0"/>
    <w:rsid w:val="00B00C77"/>
    <w:rsid w:val="00B00F10"/>
    <w:rsid w:val="00B0114F"/>
    <w:rsid w:val="00B01B59"/>
    <w:rsid w:val="00B026D6"/>
    <w:rsid w:val="00B034D5"/>
    <w:rsid w:val="00B034EA"/>
    <w:rsid w:val="00B04606"/>
    <w:rsid w:val="00B04722"/>
    <w:rsid w:val="00B0495E"/>
    <w:rsid w:val="00B04E6C"/>
    <w:rsid w:val="00B04F71"/>
    <w:rsid w:val="00B05136"/>
    <w:rsid w:val="00B0567D"/>
    <w:rsid w:val="00B05F0C"/>
    <w:rsid w:val="00B066A9"/>
    <w:rsid w:val="00B10BAC"/>
    <w:rsid w:val="00B11227"/>
    <w:rsid w:val="00B112C7"/>
    <w:rsid w:val="00B1194A"/>
    <w:rsid w:val="00B11A1D"/>
    <w:rsid w:val="00B11E16"/>
    <w:rsid w:val="00B12C04"/>
    <w:rsid w:val="00B12F2E"/>
    <w:rsid w:val="00B138C3"/>
    <w:rsid w:val="00B13B05"/>
    <w:rsid w:val="00B14241"/>
    <w:rsid w:val="00B1566D"/>
    <w:rsid w:val="00B15EA3"/>
    <w:rsid w:val="00B16A73"/>
    <w:rsid w:val="00B203A0"/>
    <w:rsid w:val="00B203CE"/>
    <w:rsid w:val="00B204B9"/>
    <w:rsid w:val="00B21054"/>
    <w:rsid w:val="00B2374A"/>
    <w:rsid w:val="00B23DF9"/>
    <w:rsid w:val="00B24224"/>
    <w:rsid w:val="00B248AF"/>
    <w:rsid w:val="00B2543C"/>
    <w:rsid w:val="00B25F9E"/>
    <w:rsid w:val="00B263E4"/>
    <w:rsid w:val="00B2669E"/>
    <w:rsid w:val="00B268AF"/>
    <w:rsid w:val="00B27201"/>
    <w:rsid w:val="00B27C6B"/>
    <w:rsid w:val="00B27F7B"/>
    <w:rsid w:val="00B304C4"/>
    <w:rsid w:val="00B30517"/>
    <w:rsid w:val="00B31019"/>
    <w:rsid w:val="00B3129E"/>
    <w:rsid w:val="00B31691"/>
    <w:rsid w:val="00B32821"/>
    <w:rsid w:val="00B32B00"/>
    <w:rsid w:val="00B35A28"/>
    <w:rsid w:val="00B36A61"/>
    <w:rsid w:val="00B41F0E"/>
    <w:rsid w:val="00B4259E"/>
    <w:rsid w:val="00B42613"/>
    <w:rsid w:val="00B42BBD"/>
    <w:rsid w:val="00B42F72"/>
    <w:rsid w:val="00B43636"/>
    <w:rsid w:val="00B458C1"/>
    <w:rsid w:val="00B46291"/>
    <w:rsid w:val="00B467CD"/>
    <w:rsid w:val="00B468CE"/>
    <w:rsid w:val="00B4744B"/>
    <w:rsid w:val="00B474FC"/>
    <w:rsid w:val="00B4773A"/>
    <w:rsid w:val="00B47BF2"/>
    <w:rsid w:val="00B50311"/>
    <w:rsid w:val="00B5045B"/>
    <w:rsid w:val="00B50721"/>
    <w:rsid w:val="00B51901"/>
    <w:rsid w:val="00B51B1F"/>
    <w:rsid w:val="00B51B9A"/>
    <w:rsid w:val="00B51CB1"/>
    <w:rsid w:val="00B529A1"/>
    <w:rsid w:val="00B52D1A"/>
    <w:rsid w:val="00B52E16"/>
    <w:rsid w:val="00B531E0"/>
    <w:rsid w:val="00B5350D"/>
    <w:rsid w:val="00B53C3D"/>
    <w:rsid w:val="00B544F6"/>
    <w:rsid w:val="00B54596"/>
    <w:rsid w:val="00B54CAE"/>
    <w:rsid w:val="00B5574B"/>
    <w:rsid w:val="00B56272"/>
    <w:rsid w:val="00B5646E"/>
    <w:rsid w:val="00B57790"/>
    <w:rsid w:val="00B57B01"/>
    <w:rsid w:val="00B60967"/>
    <w:rsid w:val="00B60B1E"/>
    <w:rsid w:val="00B61CC6"/>
    <w:rsid w:val="00B62B92"/>
    <w:rsid w:val="00B6304A"/>
    <w:rsid w:val="00B632F5"/>
    <w:rsid w:val="00B6365F"/>
    <w:rsid w:val="00B63CD1"/>
    <w:rsid w:val="00B64220"/>
    <w:rsid w:val="00B64B53"/>
    <w:rsid w:val="00B64E54"/>
    <w:rsid w:val="00B64E6C"/>
    <w:rsid w:val="00B652B3"/>
    <w:rsid w:val="00B659C7"/>
    <w:rsid w:val="00B6678A"/>
    <w:rsid w:val="00B6679C"/>
    <w:rsid w:val="00B67784"/>
    <w:rsid w:val="00B70406"/>
    <w:rsid w:val="00B70662"/>
    <w:rsid w:val="00B70885"/>
    <w:rsid w:val="00B70CDC"/>
    <w:rsid w:val="00B70EC5"/>
    <w:rsid w:val="00B71412"/>
    <w:rsid w:val="00B72086"/>
    <w:rsid w:val="00B72391"/>
    <w:rsid w:val="00B72BE5"/>
    <w:rsid w:val="00B73242"/>
    <w:rsid w:val="00B73A4C"/>
    <w:rsid w:val="00B73EAC"/>
    <w:rsid w:val="00B74074"/>
    <w:rsid w:val="00B74650"/>
    <w:rsid w:val="00B74672"/>
    <w:rsid w:val="00B750F5"/>
    <w:rsid w:val="00B75E76"/>
    <w:rsid w:val="00B761CC"/>
    <w:rsid w:val="00B7670D"/>
    <w:rsid w:val="00B76AE0"/>
    <w:rsid w:val="00B76BA2"/>
    <w:rsid w:val="00B76D0F"/>
    <w:rsid w:val="00B7763F"/>
    <w:rsid w:val="00B77760"/>
    <w:rsid w:val="00B77ACB"/>
    <w:rsid w:val="00B77F69"/>
    <w:rsid w:val="00B801A6"/>
    <w:rsid w:val="00B80BBA"/>
    <w:rsid w:val="00B812C1"/>
    <w:rsid w:val="00B812E8"/>
    <w:rsid w:val="00B81743"/>
    <w:rsid w:val="00B81B83"/>
    <w:rsid w:val="00B81CA9"/>
    <w:rsid w:val="00B81D83"/>
    <w:rsid w:val="00B82278"/>
    <w:rsid w:val="00B833C6"/>
    <w:rsid w:val="00B83963"/>
    <w:rsid w:val="00B83B1D"/>
    <w:rsid w:val="00B84614"/>
    <w:rsid w:val="00B849E8"/>
    <w:rsid w:val="00B84C6D"/>
    <w:rsid w:val="00B86642"/>
    <w:rsid w:val="00B86844"/>
    <w:rsid w:val="00B872B8"/>
    <w:rsid w:val="00B87B25"/>
    <w:rsid w:val="00B9003F"/>
    <w:rsid w:val="00B9029C"/>
    <w:rsid w:val="00B906F3"/>
    <w:rsid w:val="00B91182"/>
    <w:rsid w:val="00B911B3"/>
    <w:rsid w:val="00B91415"/>
    <w:rsid w:val="00B915EB"/>
    <w:rsid w:val="00B916A7"/>
    <w:rsid w:val="00B929F8"/>
    <w:rsid w:val="00B92B22"/>
    <w:rsid w:val="00B92C6A"/>
    <w:rsid w:val="00B92E70"/>
    <w:rsid w:val="00B934E9"/>
    <w:rsid w:val="00B93529"/>
    <w:rsid w:val="00B938C0"/>
    <w:rsid w:val="00B93956"/>
    <w:rsid w:val="00B94001"/>
    <w:rsid w:val="00B945FD"/>
    <w:rsid w:val="00B94A07"/>
    <w:rsid w:val="00B94AD2"/>
    <w:rsid w:val="00B9535E"/>
    <w:rsid w:val="00B95615"/>
    <w:rsid w:val="00B9591C"/>
    <w:rsid w:val="00B95CE6"/>
    <w:rsid w:val="00B960EE"/>
    <w:rsid w:val="00B96446"/>
    <w:rsid w:val="00B97B18"/>
    <w:rsid w:val="00BA1829"/>
    <w:rsid w:val="00BA24B4"/>
    <w:rsid w:val="00BA396A"/>
    <w:rsid w:val="00BA45BD"/>
    <w:rsid w:val="00BA4A17"/>
    <w:rsid w:val="00BA4D22"/>
    <w:rsid w:val="00BA61FE"/>
    <w:rsid w:val="00BA672C"/>
    <w:rsid w:val="00BA68AE"/>
    <w:rsid w:val="00BA6C07"/>
    <w:rsid w:val="00BA7356"/>
    <w:rsid w:val="00BA7CD1"/>
    <w:rsid w:val="00BA7CD8"/>
    <w:rsid w:val="00BA7D38"/>
    <w:rsid w:val="00BB004A"/>
    <w:rsid w:val="00BB152D"/>
    <w:rsid w:val="00BB1A1D"/>
    <w:rsid w:val="00BB2313"/>
    <w:rsid w:val="00BB273C"/>
    <w:rsid w:val="00BB2C00"/>
    <w:rsid w:val="00BB4618"/>
    <w:rsid w:val="00BB64B8"/>
    <w:rsid w:val="00BB79E1"/>
    <w:rsid w:val="00BC0188"/>
    <w:rsid w:val="00BC03CA"/>
    <w:rsid w:val="00BC0B72"/>
    <w:rsid w:val="00BC115C"/>
    <w:rsid w:val="00BC16ED"/>
    <w:rsid w:val="00BC189F"/>
    <w:rsid w:val="00BC22D5"/>
    <w:rsid w:val="00BC2688"/>
    <w:rsid w:val="00BC2EDA"/>
    <w:rsid w:val="00BC3B9E"/>
    <w:rsid w:val="00BC403E"/>
    <w:rsid w:val="00BC4273"/>
    <w:rsid w:val="00BC4317"/>
    <w:rsid w:val="00BC4450"/>
    <w:rsid w:val="00BC4CA5"/>
    <w:rsid w:val="00BC4F8A"/>
    <w:rsid w:val="00BC579B"/>
    <w:rsid w:val="00BC61D3"/>
    <w:rsid w:val="00BC67FF"/>
    <w:rsid w:val="00BC68E3"/>
    <w:rsid w:val="00BC69AC"/>
    <w:rsid w:val="00BC6D3E"/>
    <w:rsid w:val="00BC6E17"/>
    <w:rsid w:val="00BC6FDF"/>
    <w:rsid w:val="00BC77E2"/>
    <w:rsid w:val="00BD24A8"/>
    <w:rsid w:val="00BD29BC"/>
    <w:rsid w:val="00BD2CD1"/>
    <w:rsid w:val="00BD33E0"/>
    <w:rsid w:val="00BD3619"/>
    <w:rsid w:val="00BD3A82"/>
    <w:rsid w:val="00BD421C"/>
    <w:rsid w:val="00BD42F5"/>
    <w:rsid w:val="00BD4D43"/>
    <w:rsid w:val="00BD5FF0"/>
    <w:rsid w:val="00BD664D"/>
    <w:rsid w:val="00BD714E"/>
    <w:rsid w:val="00BD76C5"/>
    <w:rsid w:val="00BD7ED8"/>
    <w:rsid w:val="00BE138E"/>
    <w:rsid w:val="00BE1BF7"/>
    <w:rsid w:val="00BE1D78"/>
    <w:rsid w:val="00BE2708"/>
    <w:rsid w:val="00BE2AC6"/>
    <w:rsid w:val="00BE2CB0"/>
    <w:rsid w:val="00BE2F0A"/>
    <w:rsid w:val="00BE3243"/>
    <w:rsid w:val="00BE372A"/>
    <w:rsid w:val="00BE3CDD"/>
    <w:rsid w:val="00BE4779"/>
    <w:rsid w:val="00BE5537"/>
    <w:rsid w:val="00BE5C63"/>
    <w:rsid w:val="00BE5E5C"/>
    <w:rsid w:val="00BE6C53"/>
    <w:rsid w:val="00BE6F7D"/>
    <w:rsid w:val="00BE79E5"/>
    <w:rsid w:val="00BE7E85"/>
    <w:rsid w:val="00BE7F19"/>
    <w:rsid w:val="00BF0732"/>
    <w:rsid w:val="00BF1907"/>
    <w:rsid w:val="00BF275B"/>
    <w:rsid w:val="00BF3222"/>
    <w:rsid w:val="00BF3967"/>
    <w:rsid w:val="00BF4F66"/>
    <w:rsid w:val="00BF5499"/>
    <w:rsid w:val="00BF61A3"/>
    <w:rsid w:val="00BF70B5"/>
    <w:rsid w:val="00BF7888"/>
    <w:rsid w:val="00BF7E46"/>
    <w:rsid w:val="00BF7EE3"/>
    <w:rsid w:val="00C00046"/>
    <w:rsid w:val="00C0050C"/>
    <w:rsid w:val="00C00DEA"/>
    <w:rsid w:val="00C0102F"/>
    <w:rsid w:val="00C01296"/>
    <w:rsid w:val="00C01403"/>
    <w:rsid w:val="00C03875"/>
    <w:rsid w:val="00C03A70"/>
    <w:rsid w:val="00C0448E"/>
    <w:rsid w:val="00C04CFE"/>
    <w:rsid w:val="00C05109"/>
    <w:rsid w:val="00C05475"/>
    <w:rsid w:val="00C058A8"/>
    <w:rsid w:val="00C058E1"/>
    <w:rsid w:val="00C06A48"/>
    <w:rsid w:val="00C06A8F"/>
    <w:rsid w:val="00C0703F"/>
    <w:rsid w:val="00C07054"/>
    <w:rsid w:val="00C070D7"/>
    <w:rsid w:val="00C07179"/>
    <w:rsid w:val="00C075DC"/>
    <w:rsid w:val="00C0767A"/>
    <w:rsid w:val="00C07E13"/>
    <w:rsid w:val="00C1055B"/>
    <w:rsid w:val="00C107CE"/>
    <w:rsid w:val="00C1179E"/>
    <w:rsid w:val="00C11A8D"/>
    <w:rsid w:val="00C127B0"/>
    <w:rsid w:val="00C1300E"/>
    <w:rsid w:val="00C13C33"/>
    <w:rsid w:val="00C14350"/>
    <w:rsid w:val="00C14460"/>
    <w:rsid w:val="00C14883"/>
    <w:rsid w:val="00C15028"/>
    <w:rsid w:val="00C15694"/>
    <w:rsid w:val="00C169C0"/>
    <w:rsid w:val="00C16B5F"/>
    <w:rsid w:val="00C17372"/>
    <w:rsid w:val="00C174E6"/>
    <w:rsid w:val="00C17872"/>
    <w:rsid w:val="00C17BF1"/>
    <w:rsid w:val="00C17CC2"/>
    <w:rsid w:val="00C206F5"/>
    <w:rsid w:val="00C2155F"/>
    <w:rsid w:val="00C21B5B"/>
    <w:rsid w:val="00C21F27"/>
    <w:rsid w:val="00C226C3"/>
    <w:rsid w:val="00C22904"/>
    <w:rsid w:val="00C22B0D"/>
    <w:rsid w:val="00C22D42"/>
    <w:rsid w:val="00C237BC"/>
    <w:rsid w:val="00C24419"/>
    <w:rsid w:val="00C25EF8"/>
    <w:rsid w:val="00C26291"/>
    <w:rsid w:val="00C262E1"/>
    <w:rsid w:val="00C264D8"/>
    <w:rsid w:val="00C26DCB"/>
    <w:rsid w:val="00C273B5"/>
    <w:rsid w:val="00C302C7"/>
    <w:rsid w:val="00C3104A"/>
    <w:rsid w:val="00C31190"/>
    <w:rsid w:val="00C31A2A"/>
    <w:rsid w:val="00C3237C"/>
    <w:rsid w:val="00C32747"/>
    <w:rsid w:val="00C3424A"/>
    <w:rsid w:val="00C34473"/>
    <w:rsid w:val="00C3478F"/>
    <w:rsid w:val="00C34D77"/>
    <w:rsid w:val="00C3580B"/>
    <w:rsid w:val="00C35979"/>
    <w:rsid w:val="00C35EDB"/>
    <w:rsid w:val="00C3611C"/>
    <w:rsid w:val="00C36298"/>
    <w:rsid w:val="00C368D2"/>
    <w:rsid w:val="00C3710F"/>
    <w:rsid w:val="00C37544"/>
    <w:rsid w:val="00C3773F"/>
    <w:rsid w:val="00C4088D"/>
    <w:rsid w:val="00C40CC4"/>
    <w:rsid w:val="00C41070"/>
    <w:rsid w:val="00C43A3D"/>
    <w:rsid w:val="00C44152"/>
    <w:rsid w:val="00C444F2"/>
    <w:rsid w:val="00C44B7A"/>
    <w:rsid w:val="00C452A2"/>
    <w:rsid w:val="00C45981"/>
    <w:rsid w:val="00C45E14"/>
    <w:rsid w:val="00C46749"/>
    <w:rsid w:val="00C46E0B"/>
    <w:rsid w:val="00C46E73"/>
    <w:rsid w:val="00C50E79"/>
    <w:rsid w:val="00C51239"/>
    <w:rsid w:val="00C514F0"/>
    <w:rsid w:val="00C5277F"/>
    <w:rsid w:val="00C52C02"/>
    <w:rsid w:val="00C5300E"/>
    <w:rsid w:val="00C53A60"/>
    <w:rsid w:val="00C53C89"/>
    <w:rsid w:val="00C54F08"/>
    <w:rsid w:val="00C559AD"/>
    <w:rsid w:val="00C5644F"/>
    <w:rsid w:val="00C56ECD"/>
    <w:rsid w:val="00C56EEC"/>
    <w:rsid w:val="00C5738A"/>
    <w:rsid w:val="00C6014C"/>
    <w:rsid w:val="00C61A10"/>
    <w:rsid w:val="00C6268D"/>
    <w:rsid w:val="00C62822"/>
    <w:rsid w:val="00C63B6D"/>
    <w:rsid w:val="00C63EE4"/>
    <w:rsid w:val="00C64299"/>
    <w:rsid w:val="00C64ED2"/>
    <w:rsid w:val="00C653D2"/>
    <w:rsid w:val="00C66344"/>
    <w:rsid w:val="00C666A6"/>
    <w:rsid w:val="00C70351"/>
    <w:rsid w:val="00C70824"/>
    <w:rsid w:val="00C70997"/>
    <w:rsid w:val="00C70BA4"/>
    <w:rsid w:val="00C70F25"/>
    <w:rsid w:val="00C71AD0"/>
    <w:rsid w:val="00C71D6E"/>
    <w:rsid w:val="00C724F1"/>
    <w:rsid w:val="00C72B50"/>
    <w:rsid w:val="00C72C89"/>
    <w:rsid w:val="00C731AC"/>
    <w:rsid w:val="00C73D46"/>
    <w:rsid w:val="00C74054"/>
    <w:rsid w:val="00C742E7"/>
    <w:rsid w:val="00C74506"/>
    <w:rsid w:val="00C74EC0"/>
    <w:rsid w:val="00C7553E"/>
    <w:rsid w:val="00C75731"/>
    <w:rsid w:val="00C77334"/>
    <w:rsid w:val="00C77635"/>
    <w:rsid w:val="00C77E78"/>
    <w:rsid w:val="00C80081"/>
    <w:rsid w:val="00C80351"/>
    <w:rsid w:val="00C80641"/>
    <w:rsid w:val="00C80826"/>
    <w:rsid w:val="00C81ECC"/>
    <w:rsid w:val="00C82381"/>
    <w:rsid w:val="00C8319F"/>
    <w:rsid w:val="00C8337D"/>
    <w:rsid w:val="00C8372C"/>
    <w:rsid w:val="00C83862"/>
    <w:rsid w:val="00C839C4"/>
    <w:rsid w:val="00C83BBB"/>
    <w:rsid w:val="00C83E5D"/>
    <w:rsid w:val="00C83ED0"/>
    <w:rsid w:val="00C849BC"/>
    <w:rsid w:val="00C84A55"/>
    <w:rsid w:val="00C84AFC"/>
    <w:rsid w:val="00C84C7E"/>
    <w:rsid w:val="00C84C8F"/>
    <w:rsid w:val="00C85571"/>
    <w:rsid w:val="00C856B5"/>
    <w:rsid w:val="00C85AA0"/>
    <w:rsid w:val="00C87273"/>
    <w:rsid w:val="00C87681"/>
    <w:rsid w:val="00C8794C"/>
    <w:rsid w:val="00C90454"/>
    <w:rsid w:val="00C90A35"/>
    <w:rsid w:val="00C90C6B"/>
    <w:rsid w:val="00C91549"/>
    <w:rsid w:val="00C9159D"/>
    <w:rsid w:val="00C918EB"/>
    <w:rsid w:val="00C92691"/>
    <w:rsid w:val="00C92A45"/>
    <w:rsid w:val="00C92FF1"/>
    <w:rsid w:val="00C9372D"/>
    <w:rsid w:val="00C93FA2"/>
    <w:rsid w:val="00C94166"/>
    <w:rsid w:val="00C9425E"/>
    <w:rsid w:val="00C9429D"/>
    <w:rsid w:val="00C944F9"/>
    <w:rsid w:val="00C96F75"/>
    <w:rsid w:val="00C97533"/>
    <w:rsid w:val="00C978E9"/>
    <w:rsid w:val="00CA0273"/>
    <w:rsid w:val="00CA0C6B"/>
    <w:rsid w:val="00CA1395"/>
    <w:rsid w:val="00CA1E40"/>
    <w:rsid w:val="00CA20D3"/>
    <w:rsid w:val="00CA2151"/>
    <w:rsid w:val="00CA246A"/>
    <w:rsid w:val="00CA24F8"/>
    <w:rsid w:val="00CA2615"/>
    <w:rsid w:val="00CA3899"/>
    <w:rsid w:val="00CA3FF4"/>
    <w:rsid w:val="00CA4997"/>
    <w:rsid w:val="00CA4A78"/>
    <w:rsid w:val="00CA4E43"/>
    <w:rsid w:val="00CA4E7A"/>
    <w:rsid w:val="00CA53A5"/>
    <w:rsid w:val="00CA5950"/>
    <w:rsid w:val="00CB07C9"/>
    <w:rsid w:val="00CB1129"/>
    <w:rsid w:val="00CB162D"/>
    <w:rsid w:val="00CB205C"/>
    <w:rsid w:val="00CB2AEC"/>
    <w:rsid w:val="00CB3481"/>
    <w:rsid w:val="00CB405C"/>
    <w:rsid w:val="00CB41D8"/>
    <w:rsid w:val="00CB6144"/>
    <w:rsid w:val="00CB6544"/>
    <w:rsid w:val="00CB6BE5"/>
    <w:rsid w:val="00CC0392"/>
    <w:rsid w:val="00CC0AAD"/>
    <w:rsid w:val="00CC11D1"/>
    <w:rsid w:val="00CC1655"/>
    <w:rsid w:val="00CC1B79"/>
    <w:rsid w:val="00CC1C14"/>
    <w:rsid w:val="00CC227A"/>
    <w:rsid w:val="00CC2A8E"/>
    <w:rsid w:val="00CC2B7D"/>
    <w:rsid w:val="00CC345B"/>
    <w:rsid w:val="00CC3A7C"/>
    <w:rsid w:val="00CC3FD5"/>
    <w:rsid w:val="00CC4519"/>
    <w:rsid w:val="00CC457F"/>
    <w:rsid w:val="00CC4BA2"/>
    <w:rsid w:val="00CC4E4C"/>
    <w:rsid w:val="00CC5C3A"/>
    <w:rsid w:val="00CC6207"/>
    <w:rsid w:val="00CC6A37"/>
    <w:rsid w:val="00CC6B80"/>
    <w:rsid w:val="00CC6D21"/>
    <w:rsid w:val="00CC6FAF"/>
    <w:rsid w:val="00CC7057"/>
    <w:rsid w:val="00CC7506"/>
    <w:rsid w:val="00CC7DFA"/>
    <w:rsid w:val="00CD015E"/>
    <w:rsid w:val="00CD02D1"/>
    <w:rsid w:val="00CD033C"/>
    <w:rsid w:val="00CD0346"/>
    <w:rsid w:val="00CD12AC"/>
    <w:rsid w:val="00CD198C"/>
    <w:rsid w:val="00CD1E1D"/>
    <w:rsid w:val="00CD2963"/>
    <w:rsid w:val="00CD2B0B"/>
    <w:rsid w:val="00CD3453"/>
    <w:rsid w:val="00CD459F"/>
    <w:rsid w:val="00CD4933"/>
    <w:rsid w:val="00CD56A6"/>
    <w:rsid w:val="00CD5EA8"/>
    <w:rsid w:val="00CD6C29"/>
    <w:rsid w:val="00CE042E"/>
    <w:rsid w:val="00CE05DB"/>
    <w:rsid w:val="00CE077B"/>
    <w:rsid w:val="00CE085F"/>
    <w:rsid w:val="00CE37E3"/>
    <w:rsid w:val="00CE3F1A"/>
    <w:rsid w:val="00CE4921"/>
    <w:rsid w:val="00CE57FF"/>
    <w:rsid w:val="00CE58C5"/>
    <w:rsid w:val="00CE5A60"/>
    <w:rsid w:val="00CE5FEE"/>
    <w:rsid w:val="00CE62B8"/>
    <w:rsid w:val="00CE6320"/>
    <w:rsid w:val="00CE7A86"/>
    <w:rsid w:val="00CF12A4"/>
    <w:rsid w:val="00CF161C"/>
    <w:rsid w:val="00CF2233"/>
    <w:rsid w:val="00CF2357"/>
    <w:rsid w:val="00CF2538"/>
    <w:rsid w:val="00CF35B1"/>
    <w:rsid w:val="00CF4A96"/>
    <w:rsid w:val="00CF4C76"/>
    <w:rsid w:val="00CF4E0F"/>
    <w:rsid w:val="00CF5512"/>
    <w:rsid w:val="00CF5D03"/>
    <w:rsid w:val="00CF5D94"/>
    <w:rsid w:val="00CF738C"/>
    <w:rsid w:val="00CF7F46"/>
    <w:rsid w:val="00D0018F"/>
    <w:rsid w:val="00D00BDC"/>
    <w:rsid w:val="00D01073"/>
    <w:rsid w:val="00D016CF"/>
    <w:rsid w:val="00D026C9"/>
    <w:rsid w:val="00D02FEC"/>
    <w:rsid w:val="00D03DBD"/>
    <w:rsid w:val="00D04342"/>
    <w:rsid w:val="00D046F6"/>
    <w:rsid w:val="00D04C25"/>
    <w:rsid w:val="00D04E7D"/>
    <w:rsid w:val="00D05409"/>
    <w:rsid w:val="00D0706E"/>
    <w:rsid w:val="00D101C5"/>
    <w:rsid w:val="00D104F4"/>
    <w:rsid w:val="00D109C9"/>
    <w:rsid w:val="00D10B2C"/>
    <w:rsid w:val="00D10D19"/>
    <w:rsid w:val="00D10DCD"/>
    <w:rsid w:val="00D117AD"/>
    <w:rsid w:val="00D11AFE"/>
    <w:rsid w:val="00D11BDE"/>
    <w:rsid w:val="00D11DC8"/>
    <w:rsid w:val="00D12C60"/>
    <w:rsid w:val="00D12E24"/>
    <w:rsid w:val="00D13681"/>
    <w:rsid w:val="00D13D0F"/>
    <w:rsid w:val="00D13D9F"/>
    <w:rsid w:val="00D13F91"/>
    <w:rsid w:val="00D146D6"/>
    <w:rsid w:val="00D14784"/>
    <w:rsid w:val="00D14FC0"/>
    <w:rsid w:val="00D15058"/>
    <w:rsid w:val="00D15FEB"/>
    <w:rsid w:val="00D1691A"/>
    <w:rsid w:val="00D17076"/>
    <w:rsid w:val="00D17DF3"/>
    <w:rsid w:val="00D17EEB"/>
    <w:rsid w:val="00D20E7C"/>
    <w:rsid w:val="00D21250"/>
    <w:rsid w:val="00D212AF"/>
    <w:rsid w:val="00D212BE"/>
    <w:rsid w:val="00D2186C"/>
    <w:rsid w:val="00D2267D"/>
    <w:rsid w:val="00D22B20"/>
    <w:rsid w:val="00D22FD9"/>
    <w:rsid w:val="00D24801"/>
    <w:rsid w:val="00D24BF8"/>
    <w:rsid w:val="00D25683"/>
    <w:rsid w:val="00D2574E"/>
    <w:rsid w:val="00D27098"/>
    <w:rsid w:val="00D270C1"/>
    <w:rsid w:val="00D27333"/>
    <w:rsid w:val="00D273A0"/>
    <w:rsid w:val="00D27E69"/>
    <w:rsid w:val="00D30D00"/>
    <w:rsid w:val="00D31347"/>
    <w:rsid w:val="00D31C3B"/>
    <w:rsid w:val="00D32520"/>
    <w:rsid w:val="00D32AA1"/>
    <w:rsid w:val="00D32FEF"/>
    <w:rsid w:val="00D33CD7"/>
    <w:rsid w:val="00D34408"/>
    <w:rsid w:val="00D35A5B"/>
    <w:rsid w:val="00D3635A"/>
    <w:rsid w:val="00D3695F"/>
    <w:rsid w:val="00D369A9"/>
    <w:rsid w:val="00D36A18"/>
    <w:rsid w:val="00D36FB8"/>
    <w:rsid w:val="00D374D8"/>
    <w:rsid w:val="00D375CD"/>
    <w:rsid w:val="00D37A45"/>
    <w:rsid w:val="00D37E39"/>
    <w:rsid w:val="00D37E6B"/>
    <w:rsid w:val="00D405B6"/>
    <w:rsid w:val="00D40798"/>
    <w:rsid w:val="00D40A8C"/>
    <w:rsid w:val="00D40F86"/>
    <w:rsid w:val="00D413B4"/>
    <w:rsid w:val="00D41435"/>
    <w:rsid w:val="00D417C5"/>
    <w:rsid w:val="00D41F86"/>
    <w:rsid w:val="00D421A2"/>
    <w:rsid w:val="00D43A5E"/>
    <w:rsid w:val="00D43D01"/>
    <w:rsid w:val="00D453E7"/>
    <w:rsid w:val="00D469C8"/>
    <w:rsid w:val="00D47065"/>
    <w:rsid w:val="00D502EB"/>
    <w:rsid w:val="00D50DF1"/>
    <w:rsid w:val="00D50DF8"/>
    <w:rsid w:val="00D5119F"/>
    <w:rsid w:val="00D519FA"/>
    <w:rsid w:val="00D52064"/>
    <w:rsid w:val="00D52C6A"/>
    <w:rsid w:val="00D5312E"/>
    <w:rsid w:val="00D533C8"/>
    <w:rsid w:val="00D53CA8"/>
    <w:rsid w:val="00D54854"/>
    <w:rsid w:val="00D552C3"/>
    <w:rsid w:val="00D5583D"/>
    <w:rsid w:val="00D55B5B"/>
    <w:rsid w:val="00D57926"/>
    <w:rsid w:val="00D57E36"/>
    <w:rsid w:val="00D60349"/>
    <w:rsid w:val="00D603F6"/>
    <w:rsid w:val="00D60D58"/>
    <w:rsid w:val="00D61032"/>
    <w:rsid w:val="00D621A8"/>
    <w:rsid w:val="00D6362F"/>
    <w:rsid w:val="00D6372E"/>
    <w:rsid w:val="00D63BC9"/>
    <w:rsid w:val="00D63E0A"/>
    <w:rsid w:val="00D6425E"/>
    <w:rsid w:val="00D6576F"/>
    <w:rsid w:val="00D65883"/>
    <w:rsid w:val="00D66125"/>
    <w:rsid w:val="00D666AB"/>
    <w:rsid w:val="00D6671E"/>
    <w:rsid w:val="00D66B66"/>
    <w:rsid w:val="00D67FCB"/>
    <w:rsid w:val="00D7001D"/>
    <w:rsid w:val="00D70294"/>
    <w:rsid w:val="00D704EE"/>
    <w:rsid w:val="00D70933"/>
    <w:rsid w:val="00D715F3"/>
    <w:rsid w:val="00D717FE"/>
    <w:rsid w:val="00D71947"/>
    <w:rsid w:val="00D71CBB"/>
    <w:rsid w:val="00D72A53"/>
    <w:rsid w:val="00D730B8"/>
    <w:rsid w:val="00D7326F"/>
    <w:rsid w:val="00D7368A"/>
    <w:rsid w:val="00D73F53"/>
    <w:rsid w:val="00D73F88"/>
    <w:rsid w:val="00D75AB9"/>
    <w:rsid w:val="00D7643E"/>
    <w:rsid w:val="00D809C8"/>
    <w:rsid w:val="00D8151B"/>
    <w:rsid w:val="00D81F73"/>
    <w:rsid w:val="00D836E1"/>
    <w:rsid w:val="00D8424D"/>
    <w:rsid w:val="00D8482D"/>
    <w:rsid w:val="00D85272"/>
    <w:rsid w:val="00D85E18"/>
    <w:rsid w:val="00D86D15"/>
    <w:rsid w:val="00D8708A"/>
    <w:rsid w:val="00D87419"/>
    <w:rsid w:val="00D87D72"/>
    <w:rsid w:val="00D908FF"/>
    <w:rsid w:val="00D912A5"/>
    <w:rsid w:val="00D921C3"/>
    <w:rsid w:val="00D92468"/>
    <w:rsid w:val="00D924BF"/>
    <w:rsid w:val="00D9254F"/>
    <w:rsid w:val="00D92CF1"/>
    <w:rsid w:val="00D93A1E"/>
    <w:rsid w:val="00D946B8"/>
    <w:rsid w:val="00D94CED"/>
    <w:rsid w:val="00D94EF2"/>
    <w:rsid w:val="00D9539A"/>
    <w:rsid w:val="00D972FE"/>
    <w:rsid w:val="00D97CA5"/>
    <w:rsid w:val="00D97FBD"/>
    <w:rsid w:val="00DA0486"/>
    <w:rsid w:val="00DA0FAD"/>
    <w:rsid w:val="00DA177D"/>
    <w:rsid w:val="00DA1D46"/>
    <w:rsid w:val="00DA2AD4"/>
    <w:rsid w:val="00DA3F8C"/>
    <w:rsid w:val="00DA4C95"/>
    <w:rsid w:val="00DA5487"/>
    <w:rsid w:val="00DA6484"/>
    <w:rsid w:val="00DA6F2B"/>
    <w:rsid w:val="00DA738A"/>
    <w:rsid w:val="00DA747F"/>
    <w:rsid w:val="00DA75DC"/>
    <w:rsid w:val="00DA75E7"/>
    <w:rsid w:val="00DA7612"/>
    <w:rsid w:val="00DA799A"/>
    <w:rsid w:val="00DA7D93"/>
    <w:rsid w:val="00DA7E32"/>
    <w:rsid w:val="00DB1ACB"/>
    <w:rsid w:val="00DB1BAC"/>
    <w:rsid w:val="00DB235F"/>
    <w:rsid w:val="00DB2576"/>
    <w:rsid w:val="00DB2781"/>
    <w:rsid w:val="00DB3848"/>
    <w:rsid w:val="00DB3F0F"/>
    <w:rsid w:val="00DB408B"/>
    <w:rsid w:val="00DB4BF0"/>
    <w:rsid w:val="00DB4D4A"/>
    <w:rsid w:val="00DB75EE"/>
    <w:rsid w:val="00DB7A3C"/>
    <w:rsid w:val="00DC02DF"/>
    <w:rsid w:val="00DC063E"/>
    <w:rsid w:val="00DC0B4D"/>
    <w:rsid w:val="00DC0F13"/>
    <w:rsid w:val="00DC2275"/>
    <w:rsid w:val="00DC2D6A"/>
    <w:rsid w:val="00DC32FC"/>
    <w:rsid w:val="00DC3C69"/>
    <w:rsid w:val="00DC414D"/>
    <w:rsid w:val="00DC4871"/>
    <w:rsid w:val="00DC4B50"/>
    <w:rsid w:val="00DC63CA"/>
    <w:rsid w:val="00DC63CD"/>
    <w:rsid w:val="00DC63E1"/>
    <w:rsid w:val="00DC7E2D"/>
    <w:rsid w:val="00DC7FCF"/>
    <w:rsid w:val="00DD1D46"/>
    <w:rsid w:val="00DD23B6"/>
    <w:rsid w:val="00DD2650"/>
    <w:rsid w:val="00DD2781"/>
    <w:rsid w:val="00DD2970"/>
    <w:rsid w:val="00DD2AA3"/>
    <w:rsid w:val="00DD3C0C"/>
    <w:rsid w:val="00DD40CE"/>
    <w:rsid w:val="00DD41FF"/>
    <w:rsid w:val="00DD4E51"/>
    <w:rsid w:val="00DD50DE"/>
    <w:rsid w:val="00DD5FA6"/>
    <w:rsid w:val="00DD7AA4"/>
    <w:rsid w:val="00DE058E"/>
    <w:rsid w:val="00DE0BFD"/>
    <w:rsid w:val="00DE0C31"/>
    <w:rsid w:val="00DE24DC"/>
    <w:rsid w:val="00DE3457"/>
    <w:rsid w:val="00DE35CE"/>
    <w:rsid w:val="00DE35EB"/>
    <w:rsid w:val="00DE390E"/>
    <w:rsid w:val="00DE440E"/>
    <w:rsid w:val="00DE472C"/>
    <w:rsid w:val="00DE486E"/>
    <w:rsid w:val="00DE4DB4"/>
    <w:rsid w:val="00DE527B"/>
    <w:rsid w:val="00DE7333"/>
    <w:rsid w:val="00DE76FA"/>
    <w:rsid w:val="00DF0123"/>
    <w:rsid w:val="00DF0757"/>
    <w:rsid w:val="00DF0906"/>
    <w:rsid w:val="00DF14A3"/>
    <w:rsid w:val="00DF2266"/>
    <w:rsid w:val="00DF22C3"/>
    <w:rsid w:val="00DF2322"/>
    <w:rsid w:val="00DF2E6F"/>
    <w:rsid w:val="00DF2E85"/>
    <w:rsid w:val="00DF2EDE"/>
    <w:rsid w:val="00DF38D6"/>
    <w:rsid w:val="00DF3B81"/>
    <w:rsid w:val="00DF3DF9"/>
    <w:rsid w:val="00DF4AEE"/>
    <w:rsid w:val="00DF6FAC"/>
    <w:rsid w:val="00DF7227"/>
    <w:rsid w:val="00E007BA"/>
    <w:rsid w:val="00E00EE7"/>
    <w:rsid w:val="00E01005"/>
    <w:rsid w:val="00E0123B"/>
    <w:rsid w:val="00E01434"/>
    <w:rsid w:val="00E02462"/>
    <w:rsid w:val="00E02BC6"/>
    <w:rsid w:val="00E02E40"/>
    <w:rsid w:val="00E03BEE"/>
    <w:rsid w:val="00E04122"/>
    <w:rsid w:val="00E046F4"/>
    <w:rsid w:val="00E0487F"/>
    <w:rsid w:val="00E04F6B"/>
    <w:rsid w:val="00E05279"/>
    <w:rsid w:val="00E05376"/>
    <w:rsid w:val="00E054C7"/>
    <w:rsid w:val="00E06627"/>
    <w:rsid w:val="00E06C66"/>
    <w:rsid w:val="00E077DC"/>
    <w:rsid w:val="00E105A4"/>
    <w:rsid w:val="00E10B20"/>
    <w:rsid w:val="00E12979"/>
    <w:rsid w:val="00E12AE7"/>
    <w:rsid w:val="00E12EF5"/>
    <w:rsid w:val="00E12FF3"/>
    <w:rsid w:val="00E132BF"/>
    <w:rsid w:val="00E1459C"/>
    <w:rsid w:val="00E145FD"/>
    <w:rsid w:val="00E15110"/>
    <w:rsid w:val="00E15206"/>
    <w:rsid w:val="00E15548"/>
    <w:rsid w:val="00E155FF"/>
    <w:rsid w:val="00E15773"/>
    <w:rsid w:val="00E16083"/>
    <w:rsid w:val="00E160B1"/>
    <w:rsid w:val="00E16104"/>
    <w:rsid w:val="00E161CF"/>
    <w:rsid w:val="00E16A2E"/>
    <w:rsid w:val="00E1766F"/>
    <w:rsid w:val="00E17BDB"/>
    <w:rsid w:val="00E17DFF"/>
    <w:rsid w:val="00E203BC"/>
    <w:rsid w:val="00E20477"/>
    <w:rsid w:val="00E227AB"/>
    <w:rsid w:val="00E22C2A"/>
    <w:rsid w:val="00E22CB9"/>
    <w:rsid w:val="00E23BC6"/>
    <w:rsid w:val="00E23EED"/>
    <w:rsid w:val="00E24685"/>
    <w:rsid w:val="00E24956"/>
    <w:rsid w:val="00E2520F"/>
    <w:rsid w:val="00E26693"/>
    <w:rsid w:val="00E26908"/>
    <w:rsid w:val="00E26D19"/>
    <w:rsid w:val="00E26FA9"/>
    <w:rsid w:val="00E26FD5"/>
    <w:rsid w:val="00E279C8"/>
    <w:rsid w:val="00E27A5E"/>
    <w:rsid w:val="00E27C0C"/>
    <w:rsid w:val="00E30126"/>
    <w:rsid w:val="00E318FD"/>
    <w:rsid w:val="00E31CDC"/>
    <w:rsid w:val="00E320B9"/>
    <w:rsid w:val="00E32CF1"/>
    <w:rsid w:val="00E33030"/>
    <w:rsid w:val="00E33E87"/>
    <w:rsid w:val="00E346FF"/>
    <w:rsid w:val="00E35E7F"/>
    <w:rsid w:val="00E3651A"/>
    <w:rsid w:val="00E36895"/>
    <w:rsid w:val="00E36C24"/>
    <w:rsid w:val="00E36FA3"/>
    <w:rsid w:val="00E373B1"/>
    <w:rsid w:val="00E401E2"/>
    <w:rsid w:val="00E40B2B"/>
    <w:rsid w:val="00E418C8"/>
    <w:rsid w:val="00E423A9"/>
    <w:rsid w:val="00E4296C"/>
    <w:rsid w:val="00E42D71"/>
    <w:rsid w:val="00E4377C"/>
    <w:rsid w:val="00E43DA5"/>
    <w:rsid w:val="00E448EF"/>
    <w:rsid w:val="00E44C42"/>
    <w:rsid w:val="00E44E41"/>
    <w:rsid w:val="00E44EB4"/>
    <w:rsid w:val="00E44FCA"/>
    <w:rsid w:val="00E450FD"/>
    <w:rsid w:val="00E45A63"/>
    <w:rsid w:val="00E46375"/>
    <w:rsid w:val="00E46411"/>
    <w:rsid w:val="00E465AF"/>
    <w:rsid w:val="00E46752"/>
    <w:rsid w:val="00E46878"/>
    <w:rsid w:val="00E47726"/>
    <w:rsid w:val="00E477F6"/>
    <w:rsid w:val="00E47903"/>
    <w:rsid w:val="00E506FB"/>
    <w:rsid w:val="00E51029"/>
    <w:rsid w:val="00E5185E"/>
    <w:rsid w:val="00E51952"/>
    <w:rsid w:val="00E519F3"/>
    <w:rsid w:val="00E51C3F"/>
    <w:rsid w:val="00E51F06"/>
    <w:rsid w:val="00E52AD1"/>
    <w:rsid w:val="00E53632"/>
    <w:rsid w:val="00E537FF"/>
    <w:rsid w:val="00E53EDF"/>
    <w:rsid w:val="00E54469"/>
    <w:rsid w:val="00E5448F"/>
    <w:rsid w:val="00E54784"/>
    <w:rsid w:val="00E54A9B"/>
    <w:rsid w:val="00E55A0C"/>
    <w:rsid w:val="00E55C20"/>
    <w:rsid w:val="00E6016C"/>
    <w:rsid w:val="00E609D8"/>
    <w:rsid w:val="00E60C44"/>
    <w:rsid w:val="00E60DA1"/>
    <w:rsid w:val="00E616F4"/>
    <w:rsid w:val="00E61BD2"/>
    <w:rsid w:val="00E61F32"/>
    <w:rsid w:val="00E62A46"/>
    <w:rsid w:val="00E63232"/>
    <w:rsid w:val="00E63977"/>
    <w:rsid w:val="00E63C50"/>
    <w:rsid w:val="00E643DD"/>
    <w:rsid w:val="00E6451E"/>
    <w:rsid w:val="00E6467F"/>
    <w:rsid w:val="00E64915"/>
    <w:rsid w:val="00E64D1C"/>
    <w:rsid w:val="00E64D3B"/>
    <w:rsid w:val="00E65443"/>
    <w:rsid w:val="00E66077"/>
    <w:rsid w:val="00E66F56"/>
    <w:rsid w:val="00E67045"/>
    <w:rsid w:val="00E67633"/>
    <w:rsid w:val="00E71840"/>
    <w:rsid w:val="00E720DE"/>
    <w:rsid w:val="00E724AC"/>
    <w:rsid w:val="00E729E7"/>
    <w:rsid w:val="00E733BE"/>
    <w:rsid w:val="00E73EFF"/>
    <w:rsid w:val="00E74712"/>
    <w:rsid w:val="00E74929"/>
    <w:rsid w:val="00E74A8C"/>
    <w:rsid w:val="00E74CC9"/>
    <w:rsid w:val="00E751FA"/>
    <w:rsid w:val="00E75CB0"/>
    <w:rsid w:val="00E76873"/>
    <w:rsid w:val="00E77C65"/>
    <w:rsid w:val="00E77CAC"/>
    <w:rsid w:val="00E8045A"/>
    <w:rsid w:val="00E81212"/>
    <w:rsid w:val="00E817B6"/>
    <w:rsid w:val="00E81E81"/>
    <w:rsid w:val="00E81FB5"/>
    <w:rsid w:val="00E82412"/>
    <w:rsid w:val="00E826DA"/>
    <w:rsid w:val="00E82BAE"/>
    <w:rsid w:val="00E82C04"/>
    <w:rsid w:val="00E83331"/>
    <w:rsid w:val="00E84436"/>
    <w:rsid w:val="00E84BFC"/>
    <w:rsid w:val="00E85119"/>
    <w:rsid w:val="00E87585"/>
    <w:rsid w:val="00E90523"/>
    <w:rsid w:val="00E906FE"/>
    <w:rsid w:val="00E908C3"/>
    <w:rsid w:val="00E90942"/>
    <w:rsid w:val="00E90E0D"/>
    <w:rsid w:val="00E91610"/>
    <w:rsid w:val="00E91A39"/>
    <w:rsid w:val="00E91CF5"/>
    <w:rsid w:val="00E91F35"/>
    <w:rsid w:val="00E9253F"/>
    <w:rsid w:val="00E9265B"/>
    <w:rsid w:val="00E928E8"/>
    <w:rsid w:val="00E92E09"/>
    <w:rsid w:val="00E934FB"/>
    <w:rsid w:val="00E94CE2"/>
    <w:rsid w:val="00E95BD2"/>
    <w:rsid w:val="00E96509"/>
    <w:rsid w:val="00E967D6"/>
    <w:rsid w:val="00E969BB"/>
    <w:rsid w:val="00E969DD"/>
    <w:rsid w:val="00E96C1E"/>
    <w:rsid w:val="00EA02AD"/>
    <w:rsid w:val="00EA1564"/>
    <w:rsid w:val="00EA1769"/>
    <w:rsid w:val="00EA1818"/>
    <w:rsid w:val="00EA1979"/>
    <w:rsid w:val="00EA1A53"/>
    <w:rsid w:val="00EA1B8D"/>
    <w:rsid w:val="00EA1DF0"/>
    <w:rsid w:val="00EA2349"/>
    <w:rsid w:val="00EA292A"/>
    <w:rsid w:val="00EA2D66"/>
    <w:rsid w:val="00EA40A7"/>
    <w:rsid w:val="00EA46F7"/>
    <w:rsid w:val="00EA470F"/>
    <w:rsid w:val="00EA6150"/>
    <w:rsid w:val="00EA68D2"/>
    <w:rsid w:val="00EA708B"/>
    <w:rsid w:val="00EA70C6"/>
    <w:rsid w:val="00EA7473"/>
    <w:rsid w:val="00EA797D"/>
    <w:rsid w:val="00EB0C94"/>
    <w:rsid w:val="00EB1A9D"/>
    <w:rsid w:val="00EB274C"/>
    <w:rsid w:val="00EB2B04"/>
    <w:rsid w:val="00EB310A"/>
    <w:rsid w:val="00EB3448"/>
    <w:rsid w:val="00EB3CDC"/>
    <w:rsid w:val="00EB3E7D"/>
    <w:rsid w:val="00EB41A0"/>
    <w:rsid w:val="00EB4432"/>
    <w:rsid w:val="00EB47A5"/>
    <w:rsid w:val="00EB5713"/>
    <w:rsid w:val="00EB5720"/>
    <w:rsid w:val="00EB5F55"/>
    <w:rsid w:val="00EB6682"/>
    <w:rsid w:val="00EB7140"/>
    <w:rsid w:val="00EC1290"/>
    <w:rsid w:val="00EC13DE"/>
    <w:rsid w:val="00EC1C06"/>
    <w:rsid w:val="00EC1D57"/>
    <w:rsid w:val="00EC1F0D"/>
    <w:rsid w:val="00EC3536"/>
    <w:rsid w:val="00EC462D"/>
    <w:rsid w:val="00EC48C9"/>
    <w:rsid w:val="00EC4C18"/>
    <w:rsid w:val="00EC4DC8"/>
    <w:rsid w:val="00EC585C"/>
    <w:rsid w:val="00EC593D"/>
    <w:rsid w:val="00EC5B64"/>
    <w:rsid w:val="00EC7CF3"/>
    <w:rsid w:val="00ED01AE"/>
    <w:rsid w:val="00ED097B"/>
    <w:rsid w:val="00ED0B5A"/>
    <w:rsid w:val="00ED11C8"/>
    <w:rsid w:val="00ED2909"/>
    <w:rsid w:val="00ED2F4F"/>
    <w:rsid w:val="00ED37C6"/>
    <w:rsid w:val="00ED4064"/>
    <w:rsid w:val="00ED69B0"/>
    <w:rsid w:val="00ED6E60"/>
    <w:rsid w:val="00ED6FB7"/>
    <w:rsid w:val="00ED6FCA"/>
    <w:rsid w:val="00ED7FD8"/>
    <w:rsid w:val="00EE03AE"/>
    <w:rsid w:val="00EE0BC7"/>
    <w:rsid w:val="00EE0C53"/>
    <w:rsid w:val="00EE16F5"/>
    <w:rsid w:val="00EE213C"/>
    <w:rsid w:val="00EE2CE7"/>
    <w:rsid w:val="00EE3AA2"/>
    <w:rsid w:val="00EE3BC3"/>
    <w:rsid w:val="00EE41F5"/>
    <w:rsid w:val="00EE44C0"/>
    <w:rsid w:val="00EE4D00"/>
    <w:rsid w:val="00EE4D4E"/>
    <w:rsid w:val="00EE5015"/>
    <w:rsid w:val="00EE520E"/>
    <w:rsid w:val="00EE52B8"/>
    <w:rsid w:val="00EE5C1C"/>
    <w:rsid w:val="00EE5DB5"/>
    <w:rsid w:val="00EE6897"/>
    <w:rsid w:val="00EE6F92"/>
    <w:rsid w:val="00EE7792"/>
    <w:rsid w:val="00EE7C2C"/>
    <w:rsid w:val="00EE7D42"/>
    <w:rsid w:val="00EF24B9"/>
    <w:rsid w:val="00EF2FE2"/>
    <w:rsid w:val="00EF32EA"/>
    <w:rsid w:val="00EF3557"/>
    <w:rsid w:val="00EF3C05"/>
    <w:rsid w:val="00EF3D9D"/>
    <w:rsid w:val="00EF446E"/>
    <w:rsid w:val="00EF4D3E"/>
    <w:rsid w:val="00EF4D7A"/>
    <w:rsid w:val="00EF4F11"/>
    <w:rsid w:val="00EF51A7"/>
    <w:rsid w:val="00EF5373"/>
    <w:rsid w:val="00EF5F78"/>
    <w:rsid w:val="00EF5FC8"/>
    <w:rsid w:val="00EF677C"/>
    <w:rsid w:val="00EF6916"/>
    <w:rsid w:val="00EF77C9"/>
    <w:rsid w:val="00EF7985"/>
    <w:rsid w:val="00EF7B20"/>
    <w:rsid w:val="00EF7FD3"/>
    <w:rsid w:val="00F001D2"/>
    <w:rsid w:val="00F003EE"/>
    <w:rsid w:val="00F0113C"/>
    <w:rsid w:val="00F01AC5"/>
    <w:rsid w:val="00F023B4"/>
    <w:rsid w:val="00F02663"/>
    <w:rsid w:val="00F02B59"/>
    <w:rsid w:val="00F02D92"/>
    <w:rsid w:val="00F0307F"/>
    <w:rsid w:val="00F03424"/>
    <w:rsid w:val="00F0345F"/>
    <w:rsid w:val="00F03500"/>
    <w:rsid w:val="00F03564"/>
    <w:rsid w:val="00F03C0D"/>
    <w:rsid w:val="00F043C1"/>
    <w:rsid w:val="00F05A66"/>
    <w:rsid w:val="00F0644F"/>
    <w:rsid w:val="00F07670"/>
    <w:rsid w:val="00F07C2B"/>
    <w:rsid w:val="00F10315"/>
    <w:rsid w:val="00F10A0D"/>
    <w:rsid w:val="00F10FD9"/>
    <w:rsid w:val="00F110A0"/>
    <w:rsid w:val="00F11A33"/>
    <w:rsid w:val="00F12421"/>
    <w:rsid w:val="00F126CA"/>
    <w:rsid w:val="00F127F5"/>
    <w:rsid w:val="00F13426"/>
    <w:rsid w:val="00F13D3F"/>
    <w:rsid w:val="00F13EBA"/>
    <w:rsid w:val="00F14223"/>
    <w:rsid w:val="00F14411"/>
    <w:rsid w:val="00F14868"/>
    <w:rsid w:val="00F14E64"/>
    <w:rsid w:val="00F14F3E"/>
    <w:rsid w:val="00F15FFB"/>
    <w:rsid w:val="00F16E60"/>
    <w:rsid w:val="00F1737A"/>
    <w:rsid w:val="00F17560"/>
    <w:rsid w:val="00F17BC3"/>
    <w:rsid w:val="00F202E6"/>
    <w:rsid w:val="00F227EE"/>
    <w:rsid w:val="00F22D82"/>
    <w:rsid w:val="00F2325D"/>
    <w:rsid w:val="00F246C3"/>
    <w:rsid w:val="00F248E8"/>
    <w:rsid w:val="00F255A7"/>
    <w:rsid w:val="00F25616"/>
    <w:rsid w:val="00F257E6"/>
    <w:rsid w:val="00F2581F"/>
    <w:rsid w:val="00F267BD"/>
    <w:rsid w:val="00F269A3"/>
    <w:rsid w:val="00F26C38"/>
    <w:rsid w:val="00F276E0"/>
    <w:rsid w:val="00F2798B"/>
    <w:rsid w:val="00F3044D"/>
    <w:rsid w:val="00F30D2C"/>
    <w:rsid w:val="00F31A86"/>
    <w:rsid w:val="00F32E05"/>
    <w:rsid w:val="00F32F5B"/>
    <w:rsid w:val="00F337E0"/>
    <w:rsid w:val="00F34C15"/>
    <w:rsid w:val="00F356BC"/>
    <w:rsid w:val="00F35728"/>
    <w:rsid w:val="00F357A8"/>
    <w:rsid w:val="00F359E6"/>
    <w:rsid w:val="00F366B1"/>
    <w:rsid w:val="00F367AE"/>
    <w:rsid w:val="00F374FE"/>
    <w:rsid w:val="00F37EB5"/>
    <w:rsid w:val="00F4021A"/>
    <w:rsid w:val="00F4085B"/>
    <w:rsid w:val="00F41415"/>
    <w:rsid w:val="00F414BB"/>
    <w:rsid w:val="00F415D8"/>
    <w:rsid w:val="00F416AB"/>
    <w:rsid w:val="00F41848"/>
    <w:rsid w:val="00F41D9F"/>
    <w:rsid w:val="00F4203E"/>
    <w:rsid w:val="00F42674"/>
    <w:rsid w:val="00F43708"/>
    <w:rsid w:val="00F43DE3"/>
    <w:rsid w:val="00F43E2F"/>
    <w:rsid w:val="00F44DBF"/>
    <w:rsid w:val="00F4596E"/>
    <w:rsid w:val="00F45BED"/>
    <w:rsid w:val="00F45D84"/>
    <w:rsid w:val="00F4605C"/>
    <w:rsid w:val="00F46138"/>
    <w:rsid w:val="00F46E94"/>
    <w:rsid w:val="00F47278"/>
    <w:rsid w:val="00F472D0"/>
    <w:rsid w:val="00F47406"/>
    <w:rsid w:val="00F47604"/>
    <w:rsid w:val="00F500C8"/>
    <w:rsid w:val="00F50815"/>
    <w:rsid w:val="00F509A7"/>
    <w:rsid w:val="00F50C27"/>
    <w:rsid w:val="00F52896"/>
    <w:rsid w:val="00F52B97"/>
    <w:rsid w:val="00F52CEE"/>
    <w:rsid w:val="00F52D4F"/>
    <w:rsid w:val="00F53389"/>
    <w:rsid w:val="00F53C9C"/>
    <w:rsid w:val="00F54969"/>
    <w:rsid w:val="00F54B82"/>
    <w:rsid w:val="00F54C0B"/>
    <w:rsid w:val="00F5538F"/>
    <w:rsid w:val="00F564C5"/>
    <w:rsid w:val="00F56A0D"/>
    <w:rsid w:val="00F56DBD"/>
    <w:rsid w:val="00F6068D"/>
    <w:rsid w:val="00F60B40"/>
    <w:rsid w:val="00F60C3C"/>
    <w:rsid w:val="00F60EF4"/>
    <w:rsid w:val="00F60FBB"/>
    <w:rsid w:val="00F60FCF"/>
    <w:rsid w:val="00F61222"/>
    <w:rsid w:val="00F618A8"/>
    <w:rsid w:val="00F621A4"/>
    <w:rsid w:val="00F62B95"/>
    <w:rsid w:val="00F62C22"/>
    <w:rsid w:val="00F634FA"/>
    <w:rsid w:val="00F63589"/>
    <w:rsid w:val="00F63C9C"/>
    <w:rsid w:val="00F6414F"/>
    <w:rsid w:val="00F645B6"/>
    <w:rsid w:val="00F649CA"/>
    <w:rsid w:val="00F64D5E"/>
    <w:rsid w:val="00F659AA"/>
    <w:rsid w:val="00F663D2"/>
    <w:rsid w:val="00F6664B"/>
    <w:rsid w:val="00F66D37"/>
    <w:rsid w:val="00F67166"/>
    <w:rsid w:val="00F70D98"/>
    <w:rsid w:val="00F711F2"/>
    <w:rsid w:val="00F712E4"/>
    <w:rsid w:val="00F714A9"/>
    <w:rsid w:val="00F71719"/>
    <w:rsid w:val="00F719B2"/>
    <w:rsid w:val="00F71BD5"/>
    <w:rsid w:val="00F72846"/>
    <w:rsid w:val="00F737BD"/>
    <w:rsid w:val="00F73CAE"/>
    <w:rsid w:val="00F74155"/>
    <w:rsid w:val="00F744EB"/>
    <w:rsid w:val="00F74685"/>
    <w:rsid w:val="00F74936"/>
    <w:rsid w:val="00F74BFA"/>
    <w:rsid w:val="00F77C5C"/>
    <w:rsid w:val="00F80080"/>
    <w:rsid w:val="00F80754"/>
    <w:rsid w:val="00F80B4C"/>
    <w:rsid w:val="00F816ED"/>
    <w:rsid w:val="00F8493B"/>
    <w:rsid w:val="00F86530"/>
    <w:rsid w:val="00F87B84"/>
    <w:rsid w:val="00F9064C"/>
    <w:rsid w:val="00F922B7"/>
    <w:rsid w:val="00F92784"/>
    <w:rsid w:val="00F92BCC"/>
    <w:rsid w:val="00F93206"/>
    <w:rsid w:val="00F93AFC"/>
    <w:rsid w:val="00F96164"/>
    <w:rsid w:val="00F966DA"/>
    <w:rsid w:val="00F96C73"/>
    <w:rsid w:val="00F974F3"/>
    <w:rsid w:val="00FA00AA"/>
    <w:rsid w:val="00FA037D"/>
    <w:rsid w:val="00FA0748"/>
    <w:rsid w:val="00FA0B76"/>
    <w:rsid w:val="00FA1241"/>
    <w:rsid w:val="00FA164D"/>
    <w:rsid w:val="00FA20AB"/>
    <w:rsid w:val="00FA2EB6"/>
    <w:rsid w:val="00FA3218"/>
    <w:rsid w:val="00FA3BF0"/>
    <w:rsid w:val="00FA48FA"/>
    <w:rsid w:val="00FA6A64"/>
    <w:rsid w:val="00FA75EF"/>
    <w:rsid w:val="00FA79F2"/>
    <w:rsid w:val="00FB068F"/>
    <w:rsid w:val="00FB1AF9"/>
    <w:rsid w:val="00FB1E3F"/>
    <w:rsid w:val="00FB209F"/>
    <w:rsid w:val="00FB273F"/>
    <w:rsid w:val="00FB2D41"/>
    <w:rsid w:val="00FB3187"/>
    <w:rsid w:val="00FB354C"/>
    <w:rsid w:val="00FB37E7"/>
    <w:rsid w:val="00FB452A"/>
    <w:rsid w:val="00FB4DE2"/>
    <w:rsid w:val="00FB54DF"/>
    <w:rsid w:val="00FB5579"/>
    <w:rsid w:val="00FB5A21"/>
    <w:rsid w:val="00FB5A69"/>
    <w:rsid w:val="00FB68B9"/>
    <w:rsid w:val="00FC0FAF"/>
    <w:rsid w:val="00FC12A1"/>
    <w:rsid w:val="00FC1E72"/>
    <w:rsid w:val="00FC2328"/>
    <w:rsid w:val="00FC2EE8"/>
    <w:rsid w:val="00FC2F3A"/>
    <w:rsid w:val="00FC30FC"/>
    <w:rsid w:val="00FC33DD"/>
    <w:rsid w:val="00FC3458"/>
    <w:rsid w:val="00FC357E"/>
    <w:rsid w:val="00FC4484"/>
    <w:rsid w:val="00FC4685"/>
    <w:rsid w:val="00FC47A4"/>
    <w:rsid w:val="00FC4AA6"/>
    <w:rsid w:val="00FC5C3D"/>
    <w:rsid w:val="00FC5F98"/>
    <w:rsid w:val="00FC62B4"/>
    <w:rsid w:val="00FC6796"/>
    <w:rsid w:val="00FC69CA"/>
    <w:rsid w:val="00FC6FA2"/>
    <w:rsid w:val="00FC77FD"/>
    <w:rsid w:val="00FD0685"/>
    <w:rsid w:val="00FD0857"/>
    <w:rsid w:val="00FD1165"/>
    <w:rsid w:val="00FD1974"/>
    <w:rsid w:val="00FD2508"/>
    <w:rsid w:val="00FD26C7"/>
    <w:rsid w:val="00FD2ACD"/>
    <w:rsid w:val="00FD304B"/>
    <w:rsid w:val="00FD330C"/>
    <w:rsid w:val="00FD3AD8"/>
    <w:rsid w:val="00FD3D69"/>
    <w:rsid w:val="00FD47DF"/>
    <w:rsid w:val="00FD4BEE"/>
    <w:rsid w:val="00FD4E61"/>
    <w:rsid w:val="00FD4F72"/>
    <w:rsid w:val="00FD4FA6"/>
    <w:rsid w:val="00FD50DE"/>
    <w:rsid w:val="00FD5C6A"/>
    <w:rsid w:val="00FD65A9"/>
    <w:rsid w:val="00FD6CF7"/>
    <w:rsid w:val="00FD6F93"/>
    <w:rsid w:val="00FD75A3"/>
    <w:rsid w:val="00FD7738"/>
    <w:rsid w:val="00FD7A4A"/>
    <w:rsid w:val="00FE040E"/>
    <w:rsid w:val="00FE1457"/>
    <w:rsid w:val="00FE146C"/>
    <w:rsid w:val="00FE14DE"/>
    <w:rsid w:val="00FE18A6"/>
    <w:rsid w:val="00FE2E6A"/>
    <w:rsid w:val="00FE3B62"/>
    <w:rsid w:val="00FE3D78"/>
    <w:rsid w:val="00FE4215"/>
    <w:rsid w:val="00FE43FB"/>
    <w:rsid w:val="00FE497F"/>
    <w:rsid w:val="00FE5BDA"/>
    <w:rsid w:val="00FE5D8B"/>
    <w:rsid w:val="00FE5DCC"/>
    <w:rsid w:val="00FE6650"/>
    <w:rsid w:val="00FE7513"/>
    <w:rsid w:val="00FE783E"/>
    <w:rsid w:val="00FF22DC"/>
    <w:rsid w:val="00FF30AB"/>
    <w:rsid w:val="00FF3413"/>
    <w:rsid w:val="00FF3708"/>
    <w:rsid w:val="00FF380F"/>
    <w:rsid w:val="00FF3EBC"/>
    <w:rsid w:val="00FF51E8"/>
    <w:rsid w:val="00FF52F1"/>
    <w:rsid w:val="00FF55DE"/>
    <w:rsid w:val="00FF5661"/>
    <w:rsid w:val="00FF5761"/>
    <w:rsid w:val="00FF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A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aliases w:val="h1"/>
    <w:basedOn w:val="Normal"/>
    <w:next w:val="Normal"/>
    <w:link w:val="Heading1Char"/>
    <w:autoRedefine/>
    <w:qFormat/>
    <w:rsid w:val="00350F4C"/>
    <w:pPr>
      <w:keepNext/>
      <w:tabs>
        <w:tab w:val="left" w:pos="540"/>
      </w:tabs>
      <w:jc w:val="both"/>
      <w:outlineLvl w:val="0"/>
    </w:pPr>
    <w:rPr>
      <w:rFonts w:ascii="Verdana" w:hAnsi="Verdana"/>
      <w:b/>
      <w:bCs/>
      <w:kern w:val="32"/>
      <w:sz w:val="18"/>
      <w:szCs w:val="32"/>
    </w:rPr>
  </w:style>
  <w:style w:type="paragraph" w:styleId="Heading2">
    <w:name w:val="heading 2"/>
    <w:aliases w:val="h2"/>
    <w:basedOn w:val="Normal"/>
    <w:next w:val="Normal"/>
    <w:link w:val="Heading2Char"/>
    <w:autoRedefine/>
    <w:qFormat/>
    <w:rsid w:val="006058FB"/>
    <w:pPr>
      <w:keepNext/>
      <w:jc w:val="both"/>
      <w:outlineLvl w:val="1"/>
    </w:pPr>
    <w:rPr>
      <w:rFonts w:ascii="Verdana" w:hAnsi="Verdana"/>
      <w:b/>
      <w:bCs/>
      <w:iCs/>
      <w:sz w:val="16"/>
      <w:szCs w:val="16"/>
      <w:lang w:val="en-GB"/>
    </w:rPr>
  </w:style>
  <w:style w:type="paragraph" w:styleId="Heading3">
    <w:name w:val="heading 3"/>
    <w:basedOn w:val="Normal"/>
    <w:next w:val="Normal"/>
    <w:link w:val="Heading3Char"/>
    <w:autoRedefine/>
    <w:qFormat/>
    <w:rsid w:val="003D6F37"/>
    <w:pPr>
      <w:keepNext/>
      <w:tabs>
        <w:tab w:val="left" w:pos="720"/>
      </w:tabs>
      <w:jc w:val="both"/>
      <w:outlineLvl w:val="2"/>
    </w:pPr>
    <w:rPr>
      <w:rFonts w:ascii="Verdana" w:hAnsi="Verdana"/>
      <w:b/>
      <w:bCs/>
      <w:color w:val="000000"/>
      <w:sz w:val="16"/>
      <w:szCs w:val="16"/>
    </w:rPr>
  </w:style>
  <w:style w:type="paragraph" w:styleId="Heading4">
    <w:name w:val="heading 4"/>
    <w:basedOn w:val="Normal"/>
    <w:next w:val="Normal"/>
    <w:link w:val="Heading4Char"/>
    <w:autoRedefine/>
    <w:qFormat/>
    <w:rsid w:val="0029266B"/>
    <w:pPr>
      <w:keepNext/>
      <w:tabs>
        <w:tab w:val="num" w:pos="360"/>
        <w:tab w:val="left" w:pos="3456"/>
        <w:tab w:val="left" w:pos="3600"/>
      </w:tabs>
      <w:spacing w:after="120"/>
      <w:jc w:val="both"/>
      <w:outlineLvl w:val="3"/>
    </w:pPr>
    <w:rPr>
      <w:rFonts w:ascii="Verdana" w:hAnsi="Verdana"/>
      <w:b/>
      <w:sz w:val="16"/>
      <w:szCs w:val="16"/>
      <w:lang w:val="lt-LT"/>
    </w:rPr>
  </w:style>
  <w:style w:type="paragraph" w:styleId="Heading5">
    <w:name w:val="heading 5"/>
    <w:basedOn w:val="Normal"/>
    <w:next w:val="Normal"/>
    <w:link w:val="Heading5Char"/>
    <w:qFormat/>
    <w:rsid w:val="0029266B"/>
    <w:pPr>
      <w:tabs>
        <w:tab w:val="num" w:pos="360"/>
      </w:tabs>
      <w:spacing w:before="240" w:after="60"/>
      <w:jc w:val="both"/>
      <w:outlineLvl w:val="4"/>
    </w:pPr>
    <w:rPr>
      <w:rFonts w:ascii="Verdana" w:hAnsi="Verdana"/>
      <w:b/>
      <w:bCs/>
      <w:i/>
      <w:iCs/>
      <w:sz w:val="26"/>
      <w:szCs w:val="26"/>
      <w:lang w:val="lt-LT"/>
    </w:rPr>
  </w:style>
  <w:style w:type="paragraph" w:styleId="Heading6">
    <w:name w:val="heading 6"/>
    <w:basedOn w:val="Normal"/>
    <w:next w:val="Normal"/>
    <w:link w:val="Heading6Char"/>
    <w:qFormat/>
    <w:rsid w:val="0029266B"/>
    <w:pPr>
      <w:tabs>
        <w:tab w:val="num" w:pos="360"/>
      </w:tabs>
      <w:spacing w:before="240" w:after="60"/>
      <w:jc w:val="both"/>
      <w:outlineLvl w:val="5"/>
    </w:pPr>
    <w:rPr>
      <w:rFonts w:ascii="Verdana" w:hAnsi="Verdana"/>
      <w:b/>
      <w:bCs/>
      <w:sz w:val="22"/>
      <w:szCs w:val="22"/>
      <w:lang w:val="lt-LT"/>
    </w:rPr>
  </w:style>
  <w:style w:type="paragraph" w:styleId="Heading7">
    <w:name w:val="heading 7"/>
    <w:basedOn w:val="Normal"/>
    <w:next w:val="Normal"/>
    <w:link w:val="Heading7Char"/>
    <w:qFormat/>
    <w:rsid w:val="0029266B"/>
    <w:pPr>
      <w:tabs>
        <w:tab w:val="num" w:pos="360"/>
      </w:tabs>
      <w:spacing w:before="240" w:after="60"/>
      <w:jc w:val="both"/>
      <w:outlineLvl w:val="6"/>
    </w:pPr>
    <w:rPr>
      <w:rFonts w:ascii="Verdana" w:hAnsi="Verdana"/>
      <w:sz w:val="24"/>
      <w:szCs w:val="24"/>
      <w:lang w:val="lt-LT"/>
    </w:rPr>
  </w:style>
  <w:style w:type="paragraph" w:styleId="Heading8">
    <w:name w:val="heading 8"/>
    <w:basedOn w:val="Normal"/>
    <w:next w:val="Normal"/>
    <w:link w:val="Heading8Char"/>
    <w:qFormat/>
    <w:rsid w:val="0029266B"/>
    <w:pPr>
      <w:tabs>
        <w:tab w:val="num" w:pos="360"/>
      </w:tabs>
      <w:spacing w:before="240" w:after="60"/>
      <w:jc w:val="both"/>
      <w:outlineLvl w:val="7"/>
    </w:pPr>
    <w:rPr>
      <w:rFonts w:ascii="Verdana" w:hAnsi="Verdana"/>
      <w:i/>
      <w:iCs/>
      <w:sz w:val="24"/>
      <w:szCs w:val="24"/>
      <w:lang w:val="lt-LT"/>
    </w:rPr>
  </w:style>
  <w:style w:type="paragraph" w:styleId="Heading9">
    <w:name w:val="heading 9"/>
    <w:basedOn w:val="Normal"/>
    <w:next w:val="Normal"/>
    <w:link w:val="Heading9Char"/>
    <w:qFormat/>
    <w:rsid w:val="0029266B"/>
    <w:pPr>
      <w:tabs>
        <w:tab w:val="num" w:pos="360"/>
      </w:tabs>
      <w:spacing w:before="240" w:after="60"/>
      <w:jc w:val="both"/>
      <w:outlineLvl w:val="8"/>
    </w:pPr>
    <w:rPr>
      <w:rFonts w:ascii="Arial" w:hAnsi="Arial"/>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50F4C"/>
    <w:rPr>
      <w:rFonts w:ascii="Verdana" w:hAnsi="Verdana"/>
      <w:b/>
      <w:bCs/>
      <w:kern w:val="32"/>
      <w:sz w:val="18"/>
      <w:szCs w:val="32"/>
      <w:lang w:val="en-US" w:eastAsia="en-US"/>
    </w:rPr>
  </w:style>
  <w:style w:type="character" w:customStyle="1" w:styleId="Heading2Char">
    <w:name w:val="Heading 2 Char"/>
    <w:aliases w:val="h2 Char"/>
    <w:link w:val="Heading2"/>
    <w:rsid w:val="006058FB"/>
    <w:rPr>
      <w:rFonts w:ascii="Verdana" w:hAnsi="Verdana"/>
      <w:b/>
      <w:bCs/>
      <w:iCs/>
      <w:sz w:val="16"/>
      <w:szCs w:val="16"/>
      <w:lang w:eastAsia="en-US"/>
    </w:rPr>
  </w:style>
  <w:style w:type="character" w:customStyle="1" w:styleId="Heading3Char">
    <w:name w:val="Heading 3 Char"/>
    <w:link w:val="Heading3"/>
    <w:locked/>
    <w:rsid w:val="003D6F37"/>
    <w:rPr>
      <w:rFonts w:ascii="Verdana" w:hAnsi="Verdana"/>
      <w:b/>
      <w:bCs/>
      <w:color w:val="000000"/>
      <w:sz w:val="16"/>
      <w:szCs w:val="16"/>
      <w:lang w:val="en-US" w:eastAsia="en-US"/>
    </w:rPr>
  </w:style>
  <w:style w:type="character" w:customStyle="1" w:styleId="Heading4Char">
    <w:name w:val="Heading 4 Char"/>
    <w:link w:val="Heading4"/>
    <w:semiHidden/>
    <w:rsid w:val="0029266B"/>
    <w:rPr>
      <w:rFonts w:ascii="Verdana" w:hAnsi="Verdana"/>
      <w:b/>
      <w:sz w:val="16"/>
      <w:szCs w:val="16"/>
      <w:lang w:val="lt-LT"/>
    </w:rPr>
  </w:style>
  <w:style w:type="character" w:customStyle="1" w:styleId="Heading5Char">
    <w:name w:val="Heading 5 Char"/>
    <w:link w:val="Heading5"/>
    <w:semiHidden/>
    <w:rsid w:val="0029266B"/>
    <w:rPr>
      <w:rFonts w:ascii="Verdana" w:hAnsi="Verdana"/>
      <w:b/>
      <w:bCs/>
      <w:i/>
      <w:iCs/>
      <w:sz w:val="26"/>
      <w:szCs w:val="26"/>
      <w:lang w:val="lt-LT"/>
    </w:rPr>
  </w:style>
  <w:style w:type="character" w:customStyle="1" w:styleId="Heading7Char">
    <w:name w:val="Heading 7 Char"/>
    <w:link w:val="Heading7"/>
    <w:semiHidden/>
    <w:rsid w:val="0029266B"/>
    <w:rPr>
      <w:rFonts w:ascii="Verdana" w:hAnsi="Verdana"/>
      <w:sz w:val="24"/>
      <w:szCs w:val="24"/>
      <w:lang w:val="lt-LT"/>
    </w:rPr>
  </w:style>
  <w:style w:type="table" w:styleId="TableGrid">
    <w:name w:val="Table Grid"/>
    <w:basedOn w:val="TableNormal"/>
    <w:uiPriority w:val="39"/>
    <w:rsid w:val="001C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743"/>
    <w:pPr>
      <w:tabs>
        <w:tab w:val="center" w:pos="4819"/>
        <w:tab w:val="right" w:pos="9638"/>
      </w:tabs>
    </w:pPr>
    <w:rPr>
      <w:sz w:val="24"/>
      <w:szCs w:val="24"/>
    </w:rPr>
  </w:style>
  <w:style w:type="character" w:customStyle="1" w:styleId="HeaderChar">
    <w:name w:val="Header Char"/>
    <w:link w:val="Header"/>
    <w:uiPriority w:val="99"/>
    <w:rsid w:val="001C0743"/>
    <w:rPr>
      <w:sz w:val="24"/>
      <w:szCs w:val="24"/>
    </w:rPr>
  </w:style>
  <w:style w:type="paragraph" w:styleId="Footer">
    <w:name w:val="footer"/>
    <w:basedOn w:val="Normal"/>
    <w:link w:val="FooterChar"/>
    <w:unhideWhenUsed/>
    <w:rsid w:val="001C0743"/>
    <w:pPr>
      <w:tabs>
        <w:tab w:val="center" w:pos="4819"/>
        <w:tab w:val="right" w:pos="9638"/>
      </w:tabs>
    </w:pPr>
    <w:rPr>
      <w:sz w:val="24"/>
      <w:szCs w:val="24"/>
    </w:rPr>
  </w:style>
  <w:style w:type="character" w:customStyle="1" w:styleId="FooterChar">
    <w:name w:val="Footer Char"/>
    <w:link w:val="Footer"/>
    <w:rsid w:val="001C0743"/>
    <w:rPr>
      <w:sz w:val="24"/>
      <w:szCs w:val="24"/>
    </w:rPr>
  </w:style>
  <w:style w:type="paragraph" w:customStyle="1" w:styleId="StyleHeading3Before0ptAfter0pt">
    <w:name w:val="Style Heading 3 + Before:  0 pt After:  0 pt"/>
    <w:basedOn w:val="Heading3"/>
    <w:autoRedefine/>
    <w:rsid w:val="009B0579"/>
    <w:rPr>
      <w:szCs w:val="20"/>
      <w:lang w:val="en-GB"/>
    </w:rPr>
  </w:style>
  <w:style w:type="character" w:styleId="Hyperlink">
    <w:name w:val="Hyperlink"/>
    <w:uiPriority w:val="99"/>
    <w:rsid w:val="00091583"/>
    <w:rPr>
      <w:color w:val="0000FF"/>
      <w:u w:val="single"/>
    </w:rPr>
  </w:style>
  <w:style w:type="paragraph" w:styleId="NoSpacing">
    <w:name w:val="No Spacing"/>
    <w:uiPriority w:val="1"/>
    <w:qFormat/>
    <w:rsid w:val="00091583"/>
    <w:rPr>
      <w:sz w:val="24"/>
      <w:szCs w:val="24"/>
      <w:lang w:eastAsia="en-US"/>
    </w:rPr>
  </w:style>
  <w:style w:type="paragraph" w:styleId="CommentText">
    <w:name w:val="annotation text"/>
    <w:basedOn w:val="Normal"/>
    <w:link w:val="CommentTextChar"/>
    <w:uiPriority w:val="99"/>
    <w:semiHidden/>
    <w:rsid w:val="00091583"/>
    <w:rPr>
      <w:lang w:val="lt-LT" w:eastAsia="lt-LT"/>
    </w:rPr>
  </w:style>
  <w:style w:type="character" w:customStyle="1" w:styleId="CommentTextChar">
    <w:name w:val="Comment Text Char"/>
    <w:link w:val="CommentText"/>
    <w:uiPriority w:val="99"/>
    <w:semiHidden/>
    <w:locked/>
    <w:rsid w:val="00091583"/>
    <w:rPr>
      <w:lang w:val="lt-LT" w:eastAsia="lt-LT" w:bidi="ar-SA"/>
    </w:rPr>
  </w:style>
  <w:style w:type="paragraph" w:customStyle="1" w:styleId="IPObodytext">
    <w:name w:val="IPO_body_text"/>
    <w:basedOn w:val="Normal"/>
    <w:link w:val="IPObodytextChar"/>
    <w:rsid w:val="00091583"/>
    <w:pPr>
      <w:autoSpaceDE w:val="0"/>
      <w:autoSpaceDN w:val="0"/>
      <w:adjustRightInd w:val="0"/>
      <w:spacing w:line="264" w:lineRule="auto"/>
      <w:jc w:val="both"/>
    </w:pPr>
    <w:rPr>
      <w:rFonts w:ascii="Arial" w:hAnsi="Arial"/>
      <w:color w:val="231F20"/>
      <w:sz w:val="17"/>
      <w:szCs w:val="17"/>
      <w:lang w:val="lt-LT" w:eastAsia="lt-LT"/>
    </w:rPr>
  </w:style>
  <w:style w:type="character" w:customStyle="1" w:styleId="IPObodytextChar">
    <w:name w:val="IPO_body_text Char"/>
    <w:link w:val="IPObodytext"/>
    <w:locked/>
    <w:rsid w:val="00091583"/>
    <w:rPr>
      <w:rFonts w:ascii="Arial" w:hAnsi="Arial"/>
      <w:color w:val="231F20"/>
      <w:sz w:val="17"/>
      <w:szCs w:val="17"/>
      <w:lang w:val="lt-LT" w:eastAsia="lt-LT" w:bidi="ar-SA"/>
    </w:rPr>
  </w:style>
  <w:style w:type="paragraph" w:styleId="ListParagraph">
    <w:name w:val="List Paragraph"/>
    <w:aliases w:val="Red list paragraph"/>
    <w:basedOn w:val="Normal"/>
    <w:link w:val="ListParagraphChar"/>
    <w:uiPriority w:val="34"/>
    <w:qFormat/>
    <w:rsid w:val="00091583"/>
    <w:pPr>
      <w:spacing w:after="200" w:line="276" w:lineRule="auto"/>
      <w:ind w:left="720"/>
      <w:contextualSpacing/>
    </w:pPr>
    <w:rPr>
      <w:rFonts w:ascii="Calibri" w:hAnsi="Calibri"/>
      <w:sz w:val="22"/>
      <w:szCs w:val="22"/>
    </w:rPr>
  </w:style>
  <w:style w:type="paragraph" w:styleId="Caption">
    <w:name w:val="caption"/>
    <w:basedOn w:val="Normal"/>
    <w:next w:val="Normal"/>
    <w:qFormat/>
    <w:rsid w:val="00091583"/>
    <w:rPr>
      <w:rFonts w:ascii="Arial" w:hAnsi="Arial"/>
      <w:b/>
      <w:bCs/>
      <w:lang w:val="en-GB"/>
    </w:rPr>
  </w:style>
  <w:style w:type="paragraph" w:customStyle="1" w:styleId="Body1">
    <w:name w:val="Body 1"/>
    <w:basedOn w:val="Normal"/>
    <w:rsid w:val="00091583"/>
    <w:pPr>
      <w:numPr>
        <w:numId w:val="1"/>
      </w:numPr>
      <w:spacing w:after="140" w:line="290" w:lineRule="auto"/>
      <w:jc w:val="both"/>
    </w:pPr>
    <w:rPr>
      <w:rFonts w:ascii="Arial" w:hAnsi="Arial"/>
      <w:kern w:val="20"/>
      <w:lang w:val="en-GB"/>
    </w:rPr>
  </w:style>
  <w:style w:type="character" w:customStyle="1" w:styleId="DeltaViewInsertion">
    <w:name w:val="DeltaView Insertion"/>
    <w:rsid w:val="00091583"/>
    <w:rPr>
      <w:color w:val="0000FF"/>
      <w:u w:val="double"/>
    </w:rPr>
  </w:style>
  <w:style w:type="character" w:customStyle="1" w:styleId="FontStyle169">
    <w:name w:val="Font Style169"/>
    <w:uiPriority w:val="99"/>
    <w:rsid w:val="00091583"/>
    <w:rPr>
      <w:rFonts w:ascii="Times New Roman" w:hAnsi="Times New Roman"/>
      <w:sz w:val="20"/>
    </w:rPr>
  </w:style>
  <w:style w:type="paragraph" w:customStyle="1" w:styleId="Style87">
    <w:name w:val="Style87"/>
    <w:basedOn w:val="Normal"/>
    <w:rsid w:val="00091583"/>
    <w:pPr>
      <w:widowControl w:val="0"/>
      <w:autoSpaceDE w:val="0"/>
      <w:autoSpaceDN w:val="0"/>
      <w:adjustRightInd w:val="0"/>
      <w:spacing w:line="511" w:lineRule="exact"/>
    </w:pPr>
  </w:style>
  <w:style w:type="paragraph" w:customStyle="1" w:styleId="BMBodyText">
    <w:name w:val="B&amp;M Body Text"/>
    <w:basedOn w:val="Normal"/>
    <w:link w:val="BMBodyTextChar"/>
    <w:rsid w:val="00091583"/>
    <w:pPr>
      <w:tabs>
        <w:tab w:val="right" w:pos="9570"/>
      </w:tabs>
      <w:spacing w:before="120" w:after="120"/>
      <w:jc w:val="both"/>
    </w:pPr>
    <w:rPr>
      <w:bCs/>
      <w:noProof/>
      <w:szCs w:val="24"/>
    </w:rPr>
  </w:style>
  <w:style w:type="character" w:customStyle="1" w:styleId="BMBodyTextChar">
    <w:name w:val="B&amp;M Body Text Char"/>
    <w:link w:val="BMBodyText"/>
    <w:locked/>
    <w:rsid w:val="00091583"/>
    <w:rPr>
      <w:bCs/>
      <w:noProof/>
      <w:szCs w:val="24"/>
      <w:lang w:val="en-US" w:eastAsia="en-US" w:bidi="ar-SA"/>
    </w:rPr>
  </w:style>
  <w:style w:type="paragraph" w:customStyle="1" w:styleId="BMHEADING3">
    <w:name w:val="B&amp;M HEADING 3"/>
    <w:basedOn w:val="Normal"/>
    <w:link w:val="BMHEADING3Char"/>
    <w:rsid w:val="00091583"/>
    <w:pPr>
      <w:keepNext/>
      <w:autoSpaceDE w:val="0"/>
      <w:autoSpaceDN w:val="0"/>
      <w:adjustRightInd w:val="0"/>
      <w:spacing w:before="120" w:after="120"/>
      <w:jc w:val="both"/>
    </w:pPr>
    <w:rPr>
      <w:rFonts w:ascii="Times New Roman Bold" w:hAnsi="Times New Roman Bold"/>
      <w:b/>
      <w:bCs/>
      <w:i/>
      <w:lang w:eastAsia="pl-PL"/>
    </w:rPr>
  </w:style>
  <w:style w:type="character" w:customStyle="1" w:styleId="BMHEADING3Char">
    <w:name w:val="B&amp;M HEADING 3 Char"/>
    <w:link w:val="BMHEADING3"/>
    <w:locked/>
    <w:rsid w:val="00091583"/>
    <w:rPr>
      <w:rFonts w:ascii="Times New Roman Bold" w:hAnsi="Times New Roman Bold"/>
      <w:b/>
      <w:bCs/>
      <w:i/>
      <w:lang w:val="en-US" w:eastAsia="pl-PL" w:bidi="ar-SA"/>
    </w:rPr>
  </w:style>
  <w:style w:type="character" w:customStyle="1" w:styleId="Before6ptBoldBoldBoldBoldBoldBoCharChar1">
    <w:name w:val="Before:  6 pt + Bold + Bold + Bold + Bold + Bold + Bo... Char Char1"/>
    <w:aliases w:val="Heading 3 + Left:  0 cm2"/>
    <w:locked/>
    <w:rsid w:val="00091583"/>
    <w:rPr>
      <w:rFonts w:ascii="Arial" w:hAnsi="Arial" w:cs="Arial"/>
      <w:sz w:val="24"/>
      <w:szCs w:val="24"/>
      <w:lang w:val="lt-LT"/>
    </w:rPr>
  </w:style>
  <w:style w:type="paragraph" w:styleId="TOC1">
    <w:name w:val="toc 1"/>
    <w:basedOn w:val="Normal"/>
    <w:next w:val="Normal"/>
    <w:autoRedefine/>
    <w:uiPriority w:val="39"/>
    <w:rsid w:val="00972AA5"/>
    <w:pPr>
      <w:tabs>
        <w:tab w:val="left" w:pos="480"/>
        <w:tab w:val="right" w:leader="dot" w:pos="9639"/>
      </w:tabs>
    </w:pPr>
    <w:rPr>
      <w:rFonts w:ascii="Verdana" w:hAnsi="Verdana"/>
      <w:caps/>
      <w:sz w:val="16"/>
    </w:rPr>
  </w:style>
  <w:style w:type="paragraph" w:styleId="TOC2">
    <w:name w:val="toc 2"/>
    <w:basedOn w:val="Normal"/>
    <w:next w:val="Normal"/>
    <w:autoRedefine/>
    <w:uiPriority w:val="39"/>
    <w:rsid w:val="00972AA5"/>
    <w:pPr>
      <w:tabs>
        <w:tab w:val="left" w:pos="960"/>
        <w:tab w:val="right" w:leader="dot" w:pos="9628"/>
      </w:tabs>
      <w:ind w:left="240"/>
      <w:jc w:val="both"/>
    </w:pPr>
    <w:rPr>
      <w:rFonts w:ascii="Verdana" w:hAnsi="Verdana"/>
      <w:noProof/>
      <w:sz w:val="16"/>
      <w:lang w:val="en-GB"/>
    </w:rPr>
  </w:style>
  <w:style w:type="paragraph" w:styleId="TOC3">
    <w:name w:val="toc 3"/>
    <w:basedOn w:val="Normal"/>
    <w:next w:val="Normal"/>
    <w:autoRedefine/>
    <w:uiPriority w:val="39"/>
    <w:rsid w:val="006C2D1A"/>
    <w:pPr>
      <w:tabs>
        <w:tab w:val="left" w:pos="1276"/>
        <w:tab w:val="right" w:leader="dot" w:pos="9628"/>
      </w:tabs>
      <w:ind w:left="284"/>
      <w:jc w:val="both"/>
    </w:pPr>
    <w:rPr>
      <w:rFonts w:ascii="Verdana" w:hAnsi="Verdana" w:cs="Arial"/>
      <w:noProof/>
      <w:sz w:val="16"/>
      <w:lang w:val="en-GB"/>
    </w:rPr>
  </w:style>
  <w:style w:type="paragraph" w:customStyle="1" w:styleId="ColorfulList-Accent11">
    <w:name w:val="Colorful List - Accent 11"/>
    <w:basedOn w:val="Normal"/>
    <w:qFormat/>
    <w:rsid w:val="00E06627"/>
    <w:pPr>
      <w:spacing w:after="200" w:line="276" w:lineRule="auto"/>
      <w:ind w:left="720"/>
      <w:contextualSpacing/>
    </w:pPr>
    <w:rPr>
      <w:rFonts w:ascii="Calibri" w:eastAsia="Calibri" w:hAnsi="Calibri"/>
      <w:sz w:val="22"/>
      <w:szCs w:val="22"/>
    </w:rPr>
  </w:style>
  <w:style w:type="character" w:customStyle="1" w:styleId="FontStyle18">
    <w:name w:val="Font Style18"/>
    <w:rsid w:val="00353222"/>
    <w:rPr>
      <w:rFonts w:ascii="Times New Roman" w:hAnsi="Times New Roman" w:cs="Times New Roman"/>
      <w:sz w:val="22"/>
      <w:szCs w:val="22"/>
    </w:rPr>
  </w:style>
  <w:style w:type="paragraph" w:customStyle="1" w:styleId="CharChar11">
    <w:name w:val="Char Char11"/>
    <w:basedOn w:val="Normal"/>
    <w:uiPriority w:val="99"/>
    <w:rsid w:val="00962B40"/>
    <w:pPr>
      <w:spacing w:after="120" w:line="360" w:lineRule="auto"/>
    </w:pPr>
    <w:rPr>
      <w:rFonts w:ascii="Verdana" w:eastAsia="Batang" w:hAnsi="Verdana"/>
      <w:lang w:val="pl-PL" w:eastAsia="pl-PL"/>
    </w:rPr>
  </w:style>
  <w:style w:type="paragraph" w:customStyle="1" w:styleId="CharChar6">
    <w:name w:val="Char Char6"/>
    <w:basedOn w:val="Normal"/>
    <w:uiPriority w:val="99"/>
    <w:rsid w:val="00AD70AF"/>
    <w:pPr>
      <w:spacing w:after="120" w:line="360" w:lineRule="auto"/>
    </w:pPr>
    <w:rPr>
      <w:rFonts w:ascii="Verdana" w:eastAsia="Batang" w:hAnsi="Verdana"/>
      <w:lang w:val="pl-PL" w:eastAsia="pl-PL"/>
    </w:rPr>
  </w:style>
  <w:style w:type="paragraph" w:customStyle="1" w:styleId="bod1g">
    <w:name w:val="bod 1 g"/>
    <w:basedOn w:val="Normal"/>
    <w:rsid w:val="007B2E3C"/>
    <w:pPr>
      <w:tabs>
        <w:tab w:val="num" w:pos="2041"/>
      </w:tabs>
      <w:overflowPunct w:val="0"/>
      <w:autoSpaceDE w:val="0"/>
      <w:autoSpaceDN w:val="0"/>
      <w:adjustRightInd w:val="0"/>
      <w:spacing w:after="140" w:line="290" w:lineRule="auto"/>
      <w:ind w:left="2041" w:hanging="680"/>
      <w:jc w:val="both"/>
      <w:textAlignment w:val="baseline"/>
    </w:pPr>
    <w:rPr>
      <w:rFonts w:ascii="Century Gothic" w:eastAsia="Batang" w:hAnsi="Century Gothic"/>
      <w:kern w:val="20"/>
      <w:sz w:val="18"/>
      <w:lang w:val="en-GB"/>
    </w:rPr>
  </w:style>
  <w:style w:type="character" w:customStyle="1" w:styleId="apple-style-span">
    <w:name w:val="apple-style-span"/>
    <w:basedOn w:val="DefaultParagraphFont"/>
    <w:rsid w:val="004342B5"/>
  </w:style>
  <w:style w:type="paragraph" w:styleId="FootnoteText">
    <w:name w:val="footnote text"/>
    <w:basedOn w:val="Normal"/>
    <w:link w:val="FootnoteTextChar"/>
    <w:uiPriority w:val="99"/>
    <w:semiHidden/>
    <w:unhideWhenUsed/>
    <w:rsid w:val="00E22C2A"/>
  </w:style>
  <w:style w:type="character" w:customStyle="1" w:styleId="FootnoteTextChar">
    <w:name w:val="Footnote Text Char"/>
    <w:basedOn w:val="DefaultParagraphFont"/>
    <w:link w:val="FootnoteText"/>
    <w:uiPriority w:val="99"/>
    <w:semiHidden/>
    <w:rsid w:val="00E22C2A"/>
  </w:style>
  <w:style w:type="character" w:styleId="FootnoteReference">
    <w:name w:val="footnote reference"/>
    <w:uiPriority w:val="99"/>
    <w:semiHidden/>
    <w:unhideWhenUsed/>
    <w:rsid w:val="00E22C2A"/>
    <w:rPr>
      <w:vertAlign w:val="superscript"/>
    </w:rPr>
  </w:style>
  <w:style w:type="character" w:customStyle="1" w:styleId="BodyText2Char">
    <w:name w:val="Body Text 2 Char"/>
    <w:link w:val="BodyText2"/>
    <w:semiHidden/>
    <w:rsid w:val="000F7EB0"/>
    <w:rPr>
      <w:rFonts w:ascii="Times" w:hAnsi="Times"/>
      <w:sz w:val="24"/>
      <w:lang w:val="en-GB"/>
    </w:rPr>
  </w:style>
  <w:style w:type="paragraph" w:styleId="BodyText2">
    <w:name w:val="Body Text 2"/>
    <w:basedOn w:val="Normal"/>
    <w:link w:val="BodyText2Char"/>
    <w:semiHidden/>
    <w:unhideWhenUsed/>
    <w:rsid w:val="000F7EB0"/>
    <w:pPr>
      <w:spacing w:after="120" w:line="480" w:lineRule="auto"/>
    </w:pPr>
    <w:rPr>
      <w:rFonts w:ascii="Times" w:hAnsi="Times"/>
      <w:sz w:val="24"/>
      <w:lang w:val="en-GB"/>
    </w:rPr>
  </w:style>
  <w:style w:type="character" w:customStyle="1" w:styleId="BodyText2Char1">
    <w:name w:val="Body Text 2 Char1"/>
    <w:uiPriority w:val="99"/>
    <w:semiHidden/>
    <w:rsid w:val="000F7EB0"/>
    <w:rPr>
      <w:sz w:val="24"/>
      <w:szCs w:val="24"/>
    </w:rPr>
  </w:style>
  <w:style w:type="paragraph" w:customStyle="1" w:styleId="prospectusbody">
    <w:name w:val="prospectus body"/>
    <w:basedOn w:val="Normal"/>
    <w:link w:val="prospectusbodyChar"/>
    <w:rsid w:val="001F6FD8"/>
    <w:pPr>
      <w:spacing w:before="120" w:after="120"/>
      <w:jc w:val="both"/>
    </w:pPr>
    <w:rPr>
      <w:rFonts w:ascii="Arial" w:eastAsia="Arial Unicode MS" w:hAnsi="Arial"/>
      <w:sz w:val="18"/>
      <w:szCs w:val="24"/>
      <w:lang w:eastAsia="ko-KR"/>
    </w:rPr>
  </w:style>
  <w:style w:type="character" w:customStyle="1" w:styleId="prospectusbodyChar">
    <w:name w:val="prospectus body Char"/>
    <w:link w:val="prospectusbody"/>
    <w:rsid w:val="001F6FD8"/>
    <w:rPr>
      <w:rFonts w:ascii="Arial" w:eastAsia="Arial Unicode MS" w:hAnsi="Arial"/>
      <w:sz w:val="18"/>
      <w:szCs w:val="24"/>
      <w:lang w:val="en-US" w:eastAsia="ko-KR"/>
    </w:rPr>
  </w:style>
  <w:style w:type="paragraph" w:customStyle="1" w:styleId="BMHEADING2">
    <w:name w:val="B&amp;M HEADING 2"/>
    <w:basedOn w:val="Normal"/>
    <w:next w:val="BMBodyText"/>
    <w:link w:val="BMHEADING2Char"/>
    <w:rsid w:val="00136280"/>
    <w:pPr>
      <w:keepNext/>
      <w:spacing w:before="120" w:after="120"/>
      <w:jc w:val="both"/>
      <w:outlineLvl w:val="1"/>
    </w:pPr>
    <w:rPr>
      <w:b/>
      <w:lang w:val="en-GB"/>
    </w:rPr>
  </w:style>
  <w:style w:type="character" w:customStyle="1" w:styleId="BMHEADING2Char">
    <w:name w:val="B&amp;M HEADING 2 Char"/>
    <w:link w:val="BMHEADING2"/>
    <w:rsid w:val="00136280"/>
    <w:rPr>
      <w:b/>
      <w:lang w:val="en-GB" w:eastAsia="en-US"/>
    </w:rPr>
  </w:style>
  <w:style w:type="character" w:styleId="PageNumber">
    <w:name w:val="page number"/>
    <w:basedOn w:val="DefaultParagraphFont"/>
    <w:rsid w:val="000A151F"/>
  </w:style>
  <w:style w:type="paragraph" w:styleId="BalloonText">
    <w:name w:val="Balloon Text"/>
    <w:basedOn w:val="Normal"/>
    <w:link w:val="BalloonTextChar"/>
    <w:uiPriority w:val="99"/>
    <w:semiHidden/>
    <w:unhideWhenUsed/>
    <w:rsid w:val="00A546E8"/>
    <w:rPr>
      <w:rFonts w:ascii="Tahoma" w:hAnsi="Tahoma"/>
      <w:sz w:val="16"/>
      <w:szCs w:val="16"/>
    </w:rPr>
  </w:style>
  <w:style w:type="character" w:customStyle="1" w:styleId="BalloonTextChar">
    <w:name w:val="Balloon Text Char"/>
    <w:link w:val="BalloonText"/>
    <w:uiPriority w:val="99"/>
    <w:semiHidden/>
    <w:rsid w:val="00A546E8"/>
    <w:rPr>
      <w:rFonts w:ascii="Tahoma" w:hAnsi="Tahoma" w:cs="Tahoma"/>
      <w:sz w:val="16"/>
      <w:szCs w:val="16"/>
    </w:rPr>
  </w:style>
  <w:style w:type="paragraph" w:styleId="BodyText">
    <w:name w:val="Body Text"/>
    <w:aliases w:val="bt"/>
    <w:basedOn w:val="Normal"/>
    <w:link w:val="BodyTextChar"/>
    <w:unhideWhenUsed/>
    <w:rsid w:val="00A546E8"/>
    <w:pPr>
      <w:spacing w:after="120"/>
    </w:pPr>
    <w:rPr>
      <w:rFonts w:ascii="Arial" w:hAnsi="Arial"/>
      <w:sz w:val="18"/>
      <w:szCs w:val="24"/>
      <w:lang w:val="en-GB"/>
    </w:rPr>
  </w:style>
  <w:style w:type="character" w:customStyle="1" w:styleId="BodyTextChar">
    <w:name w:val="Body Text Char"/>
    <w:aliases w:val="bt Char"/>
    <w:link w:val="BodyText"/>
    <w:uiPriority w:val="99"/>
    <w:rsid w:val="00A546E8"/>
    <w:rPr>
      <w:rFonts w:ascii="Arial" w:hAnsi="Arial"/>
      <w:sz w:val="18"/>
      <w:szCs w:val="24"/>
      <w:lang w:val="en-GB" w:eastAsia="en-US"/>
    </w:rPr>
  </w:style>
  <w:style w:type="character" w:styleId="CommentReference">
    <w:name w:val="annotation reference"/>
    <w:uiPriority w:val="99"/>
    <w:semiHidden/>
    <w:unhideWhenUsed/>
    <w:rsid w:val="0039619F"/>
    <w:rPr>
      <w:sz w:val="16"/>
      <w:szCs w:val="16"/>
    </w:rPr>
  </w:style>
  <w:style w:type="paragraph" w:styleId="CommentSubject">
    <w:name w:val="annotation subject"/>
    <w:basedOn w:val="CommentText"/>
    <w:next w:val="CommentText"/>
    <w:link w:val="CommentSubjectChar"/>
    <w:semiHidden/>
    <w:unhideWhenUsed/>
    <w:rsid w:val="0039619F"/>
    <w:rPr>
      <w:b/>
      <w:bCs/>
    </w:rPr>
  </w:style>
  <w:style w:type="character" w:customStyle="1" w:styleId="CommentSubjectChar">
    <w:name w:val="Comment Subject Char"/>
    <w:link w:val="CommentSubject"/>
    <w:semiHidden/>
    <w:rsid w:val="0039619F"/>
    <w:rPr>
      <w:b/>
      <w:bCs/>
      <w:lang w:val="lt-LT" w:eastAsia="lt-LT" w:bidi="ar-SA"/>
    </w:rPr>
  </w:style>
  <w:style w:type="paragraph" w:styleId="BlockText">
    <w:name w:val="Block Text"/>
    <w:aliases w:val=" Char Char Char1, Char Char Char Char, Char Char Char,Block Text Char1,Block Text Char Char, Char Char Char1 Char, Char Char Char Char Char, Char Char Char Char1, Char Char Char2"/>
    <w:basedOn w:val="Normal"/>
    <w:rsid w:val="00063978"/>
    <w:pPr>
      <w:spacing w:after="120"/>
      <w:ind w:left="1440" w:right="1440"/>
    </w:pPr>
    <w:rPr>
      <w:rFonts w:ascii="Calibri" w:hAnsi="Calibri"/>
      <w:sz w:val="18"/>
      <w:szCs w:val="18"/>
      <w:lang w:val="en-GB" w:eastAsia="et-EE"/>
    </w:rPr>
  </w:style>
  <w:style w:type="character" w:customStyle="1" w:styleId="Heading6Char">
    <w:name w:val="Heading 6 Char"/>
    <w:link w:val="Heading6"/>
    <w:semiHidden/>
    <w:rsid w:val="0029266B"/>
    <w:rPr>
      <w:rFonts w:ascii="Verdana" w:hAnsi="Verdana"/>
      <w:b/>
      <w:bCs/>
      <w:sz w:val="22"/>
      <w:szCs w:val="22"/>
      <w:lang w:val="lt-LT"/>
    </w:rPr>
  </w:style>
  <w:style w:type="character" w:customStyle="1" w:styleId="Heading8Char">
    <w:name w:val="Heading 8 Char"/>
    <w:link w:val="Heading8"/>
    <w:semiHidden/>
    <w:rsid w:val="0029266B"/>
    <w:rPr>
      <w:rFonts w:ascii="Verdana" w:hAnsi="Verdana"/>
      <w:i/>
      <w:iCs/>
      <w:sz w:val="24"/>
      <w:szCs w:val="24"/>
      <w:lang w:val="lt-LT"/>
    </w:rPr>
  </w:style>
  <w:style w:type="character" w:customStyle="1" w:styleId="Heading9Char">
    <w:name w:val="Heading 9 Char"/>
    <w:link w:val="Heading9"/>
    <w:semiHidden/>
    <w:rsid w:val="0029266B"/>
    <w:rPr>
      <w:rFonts w:ascii="Arial" w:hAnsi="Arial"/>
      <w:sz w:val="22"/>
      <w:szCs w:val="22"/>
      <w:lang w:val="lt-LT"/>
    </w:rPr>
  </w:style>
  <w:style w:type="character" w:customStyle="1" w:styleId="Heading1Char1">
    <w:name w:val="Heading 1 Char1"/>
    <w:aliases w:val="h1 Char1"/>
    <w:rsid w:val="0029266B"/>
    <w:rPr>
      <w:rFonts w:ascii="Cambria" w:eastAsia="Times New Roman" w:hAnsi="Cambria" w:cs="Times New Roman"/>
      <w:b/>
      <w:bCs/>
      <w:color w:val="365F91"/>
      <w:sz w:val="28"/>
      <w:szCs w:val="28"/>
      <w:lang w:eastAsia="en-US"/>
    </w:rPr>
  </w:style>
  <w:style w:type="character" w:customStyle="1" w:styleId="HTMLPreformattedChar">
    <w:name w:val="HTML Preformatted Char"/>
    <w:link w:val="HTMLPreformatted"/>
    <w:uiPriority w:val="99"/>
    <w:semiHidden/>
    <w:rsid w:val="0029266B"/>
    <w:rPr>
      <w:rFonts w:ascii="Courier New" w:hAnsi="Courier New"/>
      <w:sz w:val="16"/>
      <w:lang w:val="lt-LT"/>
    </w:rPr>
  </w:style>
  <w:style w:type="paragraph" w:styleId="HTMLPreformatted">
    <w:name w:val="HTML Preformatted"/>
    <w:basedOn w:val="Normal"/>
    <w:link w:val="HTMLPreformattedChar"/>
    <w:uiPriority w:val="99"/>
    <w:semiHidden/>
    <w:unhideWhenUsed/>
    <w:rsid w:val="0029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6"/>
      <w:lang w:val="lt-LT"/>
    </w:rPr>
  </w:style>
  <w:style w:type="paragraph" w:styleId="Index1">
    <w:name w:val="index 1"/>
    <w:basedOn w:val="Normal"/>
    <w:next w:val="Normal"/>
    <w:autoRedefine/>
    <w:semiHidden/>
    <w:unhideWhenUsed/>
    <w:rsid w:val="0029266B"/>
    <w:pPr>
      <w:keepNext/>
      <w:spacing w:before="260" w:line="280" w:lineRule="exact"/>
      <w:ind w:right="851"/>
    </w:pPr>
    <w:rPr>
      <w:rFonts w:ascii="Verdana" w:hAnsi="Verdana"/>
      <w:b/>
      <w:sz w:val="24"/>
    </w:rPr>
  </w:style>
  <w:style w:type="paragraph" w:styleId="ListBullet">
    <w:name w:val="List Bullet"/>
    <w:basedOn w:val="BodyText"/>
    <w:semiHidden/>
    <w:unhideWhenUsed/>
    <w:rsid w:val="0029266B"/>
    <w:pPr>
      <w:tabs>
        <w:tab w:val="num" w:pos="340"/>
      </w:tabs>
      <w:spacing w:before="130" w:after="130"/>
      <w:ind w:left="340" w:hanging="340"/>
      <w:jc w:val="both"/>
    </w:pPr>
    <w:rPr>
      <w:rFonts w:ascii="Times New Roman" w:hAnsi="Times New Roman"/>
      <w:sz w:val="22"/>
      <w:lang w:val="en-US"/>
    </w:rPr>
  </w:style>
  <w:style w:type="paragraph" w:styleId="ListBullet2">
    <w:name w:val="List Bullet 2"/>
    <w:basedOn w:val="ListBullet"/>
    <w:semiHidden/>
    <w:unhideWhenUsed/>
    <w:rsid w:val="0029266B"/>
    <w:pPr>
      <w:tabs>
        <w:tab w:val="clear" w:pos="340"/>
        <w:tab w:val="num" w:pos="680"/>
      </w:tabs>
      <w:ind w:left="680"/>
    </w:pPr>
  </w:style>
  <w:style w:type="paragraph" w:styleId="ListBullet3">
    <w:name w:val="List Bullet 3"/>
    <w:basedOn w:val="ListBullet"/>
    <w:semiHidden/>
    <w:unhideWhenUsed/>
    <w:rsid w:val="0029266B"/>
    <w:pPr>
      <w:jc w:val="left"/>
    </w:pPr>
    <w:rPr>
      <w:sz w:val="18"/>
    </w:rPr>
  </w:style>
  <w:style w:type="paragraph" w:styleId="ListBullet4">
    <w:name w:val="List Bullet 4"/>
    <w:basedOn w:val="ListBullet2"/>
    <w:semiHidden/>
    <w:unhideWhenUsed/>
    <w:rsid w:val="0029266B"/>
    <w:pPr>
      <w:tabs>
        <w:tab w:val="clear" w:pos="680"/>
        <w:tab w:val="num" w:pos="720"/>
      </w:tabs>
      <w:ind w:left="720" w:hanging="360"/>
      <w:jc w:val="left"/>
    </w:pPr>
    <w:rPr>
      <w:sz w:val="18"/>
    </w:rPr>
  </w:style>
  <w:style w:type="paragraph" w:styleId="Signature">
    <w:name w:val="Signature"/>
    <w:basedOn w:val="Normal"/>
    <w:link w:val="SignatureChar"/>
    <w:semiHidden/>
    <w:unhideWhenUsed/>
    <w:rsid w:val="0029266B"/>
    <w:rPr>
      <w:rFonts w:ascii="Verdana" w:hAnsi="Verdana"/>
      <w:sz w:val="22"/>
    </w:rPr>
  </w:style>
  <w:style w:type="character" w:customStyle="1" w:styleId="SignatureChar">
    <w:name w:val="Signature Char"/>
    <w:link w:val="Signature"/>
    <w:semiHidden/>
    <w:rsid w:val="0029266B"/>
    <w:rPr>
      <w:rFonts w:ascii="Verdana" w:hAnsi="Verdana"/>
      <w:sz w:val="22"/>
    </w:rPr>
  </w:style>
  <w:style w:type="character" w:customStyle="1" w:styleId="BodyTextIndentChar">
    <w:name w:val="Body Text Indent Char"/>
    <w:link w:val="BodyTextIndent"/>
    <w:semiHidden/>
    <w:rsid w:val="0029266B"/>
    <w:rPr>
      <w:rFonts w:ascii="Verdana" w:hAnsi="Verdana"/>
      <w:color w:val="FF0000"/>
      <w:szCs w:val="24"/>
      <w:lang w:val="lt-LT"/>
    </w:rPr>
  </w:style>
  <w:style w:type="paragraph" w:styleId="BodyTextIndent">
    <w:name w:val="Body Text Indent"/>
    <w:basedOn w:val="Normal"/>
    <w:link w:val="BodyTextIndentChar"/>
    <w:semiHidden/>
    <w:unhideWhenUsed/>
    <w:rsid w:val="0029266B"/>
    <w:pPr>
      <w:spacing w:before="120" w:after="120"/>
      <w:ind w:left="108"/>
      <w:jc w:val="both"/>
    </w:pPr>
    <w:rPr>
      <w:rFonts w:ascii="Verdana" w:hAnsi="Verdana"/>
      <w:color w:val="FF0000"/>
      <w:szCs w:val="24"/>
      <w:lang w:val="lt-LT"/>
    </w:rPr>
  </w:style>
  <w:style w:type="character" w:customStyle="1" w:styleId="BodyText3Char">
    <w:name w:val="Body Text 3 Char"/>
    <w:link w:val="BodyText3"/>
    <w:semiHidden/>
    <w:rsid w:val="0029266B"/>
    <w:rPr>
      <w:rFonts w:ascii="Verdana" w:hAnsi="Verdana"/>
      <w:color w:val="0000FF"/>
      <w:sz w:val="16"/>
      <w:szCs w:val="24"/>
      <w:lang w:val="lt-LT"/>
    </w:rPr>
  </w:style>
  <w:style w:type="paragraph" w:styleId="BodyText3">
    <w:name w:val="Body Text 3"/>
    <w:basedOn w:val="Normal"/>
    <w:link w:val="BodyText3Char"/>
    <w:semiHidden/>
    <w:unhideWhenUsed/>
    <w:rsid w:val="0029266B"/>
    <w:pPr>
      <w:tabs>
        <w:tab w:val="left" w:pos="991"/>
        <w:tab w:val="left" w:pos="7848"/>
      </w:tabs>
      <w:spacing w:before="120" w:after="120"/>
      <w:jc w:val="both"/>
    </w:pPr>
    <w:rPr>
      <w:rFonts w:ascii="Verdana" w:hAnsi="Verdana"/>
      <w:color w:val="0000FF"/>
      <w:sz w:val="16"/>
      <w:szCs w:val="24"/>
      <w:lang w:val="lt-LT"/>
    </w:rPr>
  </w:style>
  <w:style w:type="character" w:customStyle="1" w:styleId="BodyTextIndent2Char">
    <w:name w:val="Body Text Indent 2 Char"/>
    <w:link w:val="BodyTextIndent2"/>
    <w:semiHidden/>
    <w:rsid w:val="0029266B"/>
    <w:rPr>
      <w:rFonts w:ascii="Verdana" w:hAnsi="Verdana"/>
      <w:sz w:val="16"/>
      <w:szCs w:val="24"/>
      <w:lang w:val="lt-LT"/>
    </w:rPr>
  </w:style>
  <w:style w:type="paragraph" w:styleId="BodyTextIndent2">
    <w:name w:val="Body Text Indent 2"/>
    <w:basedOn w:val="Normal"/>
    <w:link w:val="BodyTextIndent2Char"/>
    <w:semiHidden/>
    <w:unhideWhenUsed/>
    <w:rsid w:val="0029266B"/>
    <w:pPr>
      <w:spacing w:before="120" w:after="120"/>
      <w:ind w:left="720"/>
      <w:jc w:val="both"/>
    </w:pPr>
    <w:rPr>
      <w:rFonts w:ascii="Verdana" w:hAnsi="Verdana"/>
      <w:sz w:val="16"/>
      <w:szCs w:val="24"/>
      <w:lang w:val="lt-LT"/>
    </w:rPr>
  </w:style>
  <w:style w:type="character" w:customStyle="1" w:styleId="BodyTextIndent3Char">
    <w:name w:val="Body Text Indent 3 Char"/>
    <w:link w:val="BodyTextIndent3"/>
    <w:semiHidden/>
    <w:rsid w:val="0029266B"/>
    <w:rPr>
      <w:rFonts w:ascii="Verdana" w:hAnsi="Verdana"/>
      <w:sz w:val="16"/>
      <w:szCs w:val="22"/>
      <w:lang w:val="lt-LT"/>
    </w:rPr>
  </w:style>
  <w:style w:type="paragraph" w:styleId="BodyTextIndent3">
    <w:name w:val="Body Text Indent 3"/>
    <w:basedOn w:val="Normal"/>
    <w:link w:val="BodyTextIndent3Char"/>
    <w:semiHidden/>
    <w:unhideWhenUsed/>
    <w:rsid w:val="0029266B"/>
    <w:pPr>
      <w:spacing w:before="120" w:after="120"/>
      <w:ind w:left="360"/>
      <w:jc w:val="both"/>
    </w:pPr>
    <w:rPr>
      <w:rFonts w:ascii="Verdana" w:hAnsi="Verdana"/>
      <w:sz w:val="16"/>
      <w:szCs w:val="22"/>
      <w:lang w:val="lt-LT"/>
    </w:rPr>
  </w:style>
  <w:style w:type="character" w:customStyle="1" w:styleId="DocumentMapChar">
    <w:name w:val="Document Map Char"/>
    <w:link w:val="DocumentMap"/>
    <w:semiHidden/>
    <w:rsid w:val="0029266B"/>
    <w:rPr>
      <w:rFonts w:ascii="Tahoma" w:hAnsi="Tahoma" w:cs="Tahoma"/>
      <w:sz w:val="16"/>
      <w:szCs w:val="24"/>
      <w:shd w:val="clear" w:color="auto" w:fill="000080"/>
      <w:lang w:val="lt-LT"/>
    </w:rPr>
  </w:style>
  <w:style w:type="paragraph" w:styleId="DocumentMap">
    <w:name w:val="Document Map"/>
    <w:basedOn w:val="Normal"/>
    <w:link w:val="DocumentMapChar"/>
    <w:semiHidden/>
    <w:unhideWhenUsed/>
    <w:rsid w:val="0029266B"/>
    <w:pPr>
      <w:shd w:val="clear" w:color="auto" w:fill="000080"/>
      <w:spacing w:after="120"/>
      <w:jc w:val="both"/>
    </w:pPr>
    <w:rPr>
      <w:rFonts w:ascii="Tahoma" w:hAnsi="Tahoma"/>
      <w:sz w:val="16"/>
      <w:szCs w:val="24"/>
      <w:lang w:val="lt-LT"/>
    </w:rPr>
  </w:style>
  <w:style w:type="character" w:customStyle="1" w:styleId="PlainTextChar">
    <w:name w:val="Plain Text Char"/>
    <w:link w:val="PlainText"/>
    <w:semiHidden/>
    <w:rsid w:val="0029266B"/>
    <w:rPr>
      <w:rFonts w:ascii="Courier New" w:hAnsi="Courier New" w:cs="Courier New"/>
      <w:sz w:val="16"/>
    </w:rPr>
  </w:style>
  <w:style w:type="paragraph" w:styleId="PlainText">
    <w:name w:val="Plain Text"/>
    <w:basedOn w:val="Normal"/>
    <w:link w:val="PlainTextChar"/>
    <w:semiHidden/>
    <w:unhideWhenUsed/>
    <w:rsid w:val="0029266B"/>
    <w:rPr>
      <w:rFonts w:ascii="Courier New" w:hAnsi="Courier New"/>
      <w:sz w:val="16"/>
    </w:rPr>
  </w:style>
  <w:style w:type="paragraph" w:customStyle="1" w:styleId="CharChar60">
    <w:name w:val="Char Char6"/>
    <w:basedOn w:val="Normal"/>
    <w:uiPriority w:val="99"/>
    <w:rsid w:val="00313954"/>
    <w:pPr>
      <w:spacing w:after="120" w:line="360" w:lineRule="auto"/>
    </w:pPr>
    <w:rPr>
      <w:rFonts w:ascii="Verdana" w:eastAsia="Batang" w:hAnsi="Verdana"/>
      <w:szCs w:val="24"/>
      <w:lang w:val="pl-PL" w:eastAsia="pl-PL"/>
    </w:rPr>
  </w:style>
  <w:style w:type="paragraph" w:customStyle="1" w:styleId="BodyChar">
    <w:name w:val="Body Char"/>
    <w:basedOn w:val="Normal"/>
    <w:rsid w:val="0029266B"/>
    <w:pPr>
      <w:spacing w:after="140" w:line="288" w:lineRule="auto"/>
      <w:ind w:left="425"/>
      <w:jc w:val="both"/>
    </w:pPr>
    <w:rPr>
      <w:rFonts w:ascii="Verdana" w:hAnsi="Verdana"/>
      <w:kern w:val="20"/>
      <w:sz w:val="16"/>
      <w:lang w:val="en-GB"/>
    </w:rPr>
  </w:style>
  <w:style w:type="paragraph" w:customStyle="1" w:styleId="StyleJustifiedLinespacingsingle">
    <w:name w:val="Style Justified Line spacing:  single"/>
    <w:basedOn w:val="Normal"/>
    <w:rsid w:val="0029266B"/>
    <w:pPr>
      <w:spacing w:before="240" w:after="120"/>
      <w:jc w:val="both"/>
    </w:pPr>
    <w:rPr>
      <w:rFonts w:ascii="Verdana" w:hAnsi="Verdana"/>
      <w:kern w:val="20"/>
      <w:sz w:val="16"/>
      <w:lang w:val="en-GB"/>
    </w:rPr>
  </w:style>
  <w:style w:type="paragraph" w:customStyle="1" w:styleId="underskrift">
    <w:name w:val="underskrift"/>
    <w:aliases w:val="u"/>
    <w:basedOn w:val="Normal"/>
    <w:next w:val="Normal"/>
    <w:rsid w:val="0029266B"/>
    <w:pPr>
      <w:tabs>
        <w:tab w:val="left" w:pos="3240"/>
        <w:tab w:val="center" w:pos="4080"/>
        <w:tab w:val="right" w:pos="8160"/>
      </w:tabs>
      <w:spacing w:before="600" w:after="260"/>
      <w:jc w:val="both"/>
    </w:pPr>
    <w:rPr>
      <w:rFonts w:ascii="Times" w:hAnsi="Times"/>
      <w:sz w:val="22"/>
      <w:lang w:val="en-GB"/>
    </w:rPr>
  </w:style>
  <w:style w:type="paragraph" w:customStyle="1" w:styleId="cj">
    <w:name w:val="cj"/>
    <w:basedOn w:val="Normal"/>
    <w:next w:val="underskrift"/>
    <w:rsid w:val="0029266B"/>
    <w:pPr>
      <w:keepNext/>
      <w:spacing w:after="480"/>
      <w:jc w:val="both"/>
    </w:pPr>
    <w:rPr>
      <w:rFonts w:ascii="Times" w:hAnsi="Times"/>
      <w:sz w:val="22"/>
      <w:lang w:val="en-GB"/>
    </w:rPr>
  </w:style>
  <w:style w:type="paragraph" w:customStyle="1" w:styleId="table">
    <w:name w:val="table+"/>
    <w:aliases w:val="t+,tabel+"/>
    <w:basedOn w:val="Normal"/>
    <w:rsid w:val="0029266B"/>
    <w:pPr>
      <w:spacing w:line="260" w:lineRule="atLeast"/>
      <w:ind w:left="260" w:right="120" w:hanging="260"/>
      <w:jc w:val="right"/>
    </w:pPr>
    <w:rPr>
      <w:rFonts w:ascii="Times" w:hAnsi="Times"/>
      <w:sz w:val="22"/>
      <w:lang w:val="en-GB"/>
    </w:rPr>
  </w:style>
  <w:style w:type="paragraph" w:customStyle="1" w:styleId="tableheading">
    <w:name w:val="table heading"/>
    <w:aliases w:val="th,tabel heading"/>
    <w:basedOn w:val="Normal"/>
    <w:rsid w:val="0029266B"/>
    <w:pPr>
      <w:spacing w:line="260" w:lineRule="atLeast"/>
      <w:ind w:left="120" w:right="120"/>
    </w:pPr>
    <w:rPr>
      <w:rFonts w:ascii="Times" w:hAnsi="Times"/>
      <w:sz w:val="22"/>
      <w:lang w:val="en-GB"/>
    </w:rPr>
  </w:style>
  <w:style w:type="paragraph" w:customStyle="1" w:styleId="table0">
    <w:name w:val="table"/>
    <w:aliases w:val="t,tabel,te,tekst"/>
    <w:basedOn w:val="Normal"/>
    <w:rsid w:val="0029266B"/>
    <w:pPr>
      <w:spacing w:line="260" w:lineRule="atLeast"/>
      <w:ind w:left="260" w:hanging="260"/>
    </w:pPr>
    <w:rPr>
      <w:rFonts w:ascii="Times" w:hAnsi="Times"/>
      <w:sz w:val="22"/>
      <w:lang w:val="en-GB"/>
    </w:rPr>
  </w:style>
  <w:style w:type="paragraph" w:customStyle="1" w:styleId="table1">
    <w:name w:val="table_"/>
    <w:aliases w:val="t_,tabel_"/>
    <w:basedOn w:val="Normal"/>
    <w:rsid w:val="0029266B"/>
    <w:pPr>
      <w:pBdr>
        <w:bottom w:val="single" w:sz="2" w:space="1" w:color="auto"/>
      </w:pBdr>
      <w:spacing w:after="60" w:line="20" w:lineRule="exact"/>
      <w:ind w:left="120" w:right="120"/>
      <w:jc w:val="right"/>
    </w:pPr>
    <w:rPr>
      <w:rFonts w:ascii="Times" w:hAnsi="Times"/>
      <w:b/>
      <w:position w:val="4"/>
      <w:sz w:val="22"/>
      <w:lang w:val="en-GB"/>
    </w:rPr>
  </w:style>
  <w:style w:type="paragraph" w:customStyle="1" w:styleId="tablet">
    <w:name w:val="table t"/>
    <w:aliases w:val="tt"/>
    <w:basedOn w:val="Normal"/>
    <w:rsid w:val="0029266B"/>
    <w:pPr>
      <w:spacing w:line="40" w:lineRule="exact"/>
    </w:pPr>
    <w:rPr>
      <w:rFonts w:ascii="Times" w:hAnsi="Times"/>
      <w:sz w:val="22"/>
      <w:lang w:val="en-GB"/>
    </w:rPr>
  </w:style>
  <w:style w:type="paragraph" w:customStyle="1" w:styleId="table2">
    <w:name w:val="table="/>
    <w:aliases w:val="t=,tabel="/>
    <w:basedOn w:val="Normal"/>
    <w:rsid w:val="0029266B"/>
    <w:pPr>
      <w:pBdr>
        <w:bottom w:val="double" w:sz="4" w:space="1" w:color="auto"/>
      </w:pBdr>
      <w:spacing w:after="120" w:line="60" w:lineRule="exact"/>
      <w:ind w:left="120" w:right="120"/>
      <w:jc w:val="right"/>
    </w:pPr>
    <w:rPr>
      <w:rFonts w:ascii="Times" w:hAnsi="Times"/>
      <w:position w:val="-6"/>
      <w:sz w:val="44"/>
      <w:u w:val="double"/>
      <w:lang w:val="en-GB"/>
    </w:rPr>
  </w:style>
  <w:style w:type="paragraph" w:customStyle="1" w:styleId="Graphic">
    <w:name w:val="Graphic"/>
    <w:basedOn w:val="Signature"/>
    <w:rsid w:val="0029266B"/>
    <w:pPr>
      <w:pBdr>
        <w:top w:val="single" w:sz="4" w:space="1" w:color="auto"/>
        <w:left w:val="single" w:sz="4" w:space="1" w:color="auto"/>
        <w:bottom w:val="single" w:sz="4" w:space="1" w:color="auto"/>
        <w:right w:val="single" w:sz="4" w:space="1" w:color="auto"/>
      </w:pBdr>
      <w:jc w:val="center"/>
    </w:pPr>
  </w:style>
  <w:style w:type="paragraph" w:customStyle="1" w:styleId="zreportaddinfoit">
    <w:name w:val="zreport addinfoit"/>
    <w:basedOn w:val="Normal"/>
    <w:rsid w:val="0029266B"/>
    <w:pPr>
      <w:framePr w:wrap="around" w:hAnchor="page" w:xAlign="center" w:yAlign="bottom"/>
      <w:spacing w:line="260" w:lineRule="atLeast"/>
      <w:jc w:val="center"/>
    </w:pPr>
    <w:rPr>
      <w:rFonts w:ascii="Times" w:hAnsi="Times"/>
      <w:i/>
      <w:sz w:val="16"/>
      <w:lang w:val="en-GB"/>
    </w:rPr>
  </w:style>
  <w:style w:type="paragraph" w:customStyle="1" w:styleId="AppendixHeading">
    <w:name w:val="Appendix Heading"/>
    <w:basedOn w:val="Heading1"/>
    <w:next w:val="BodyText"/>
    <w:rsid w:val="0029266B"/>
    <w:pPr>
      <w:tabs>
        <w:tab w:val="clear" w:pos="540"/>
      </w:tabs>
      <w:spacing w:before="400" w:line="360" w:lineRule="exact"/>
      <w:outlineLvl w:val="9"/>
    </w:pPr>
    <w:rPr>
      <w:bCs w:val="0"/>
      <w:kern w:val="0"/>
      <w:sz w:val="32"/>
      <w:szCs w:val="20"/>
    </w:rPr>
  </w:style>
  <w:style w:type="paragraph" w:customStyle="1" w:styleId="AppendixHeading2">
    <w:name w:val="Appendix Heading 2"/>
    <w:basedOn w:val="Heading2"/>
    <w:next w:val="BodyText"/>
    <w:rsid w:val="0029266B"/>
    <w:pPr>
      <w:spacing w:before="400" w:line="320" w:lineRule="exact"/>
      <w:jc w:val="left"/>
      <w:outlineLvl w:val="9"/>
    </w:pPr>
    <w:rPr>
      <w:bCs w:val="0"/>
      <w:iCs w:val="0"/>
      <w:sz w:val="28"/>
      <w:szCs w:val="20"/>
      <w:lang w:val="en-US"/>
    </w:rPr>
  </w:style>
  <w:style w:type="paragraph" w:customStyle="1" w:styleId="AppendixHeading3">
    <w:name w:val="Appendix Heading 3"/>
    <w:basedOn w:val="Heading3"/>
    <w:next w:val="BodyText"/>
    <w:rsid w:val="0029266B"/>
    <w:pPr>
      <w:tabs>
        <w:tab w:val="clear" w:pos="720"/>
      </w:tabs>
      <w:spacing w:before="400" w:line="280" w:lineRule="exact"/>
      <w:jc w:val="left"/>
      <w:outlineLvl w:val="9"/>
    </w:pPr>
    <w:rPr>
      <w:bCs w:val="0"/>
      <w:color w:val="auto"/>
      <w:sz w:val="24"/>
      <w:szCs w:val="20"/>
    </w:rPr>
  </w:style>
  <w:style w:type="paragraph" w:customStyle="1" w:styleId="AppendixHeading4">
    <w:name w:val="Appendix Heading 4"/>
    <w:basedOn w:val="Heading4"/>
    <w:next w:val="BodyText"/>
    <w:rsid w:val="0029266B"/>
    <w:pPr>
      <w:tabs>
        <w:tab w:val="clear" w:pos="360"/>
      </w:tabs>
      <w:spacing w:before="400" w:after="0" w:line="280" w:lineRule="exact"/>
      <w:jc w:val="left"/>
      <w:outlineLvl w:val="9"/>
    </w:pPr>
    <w:rPr>
      <w:b w:val="0"/>
      <w:i/>
      <w:sz w:val="24"/>
      <w:szCs w:val="20"/>
      <w:lang w:val="en-US"/>
    </w:rPr>
  </w:style>
  <w:style w:type="paragraph" w:customStyle="1" w:styleId="AppendixHeading5">
    <w:name w:val="Appendix Heading 5"/>
    <w:basedOn w:val="Heading5"/>
    <w:next w:val="BodyText"/>
    <w:rsid w:val="0029266B"/>
    <w:pPr>
      <w:keepNext/>
      <w:tabs>
        <w:tab w:val="clear" w:pos="360"/>
      </w:tabs>
      <w:spacing w:before="400" w:after="0" w:line="260" w:lineRule="exact"/>
      <w:jc w:val="left"/>
      <w:outlineLvl w:val="9"/>
    </w:pPr>
    <w:rPr>
      <w:b w:val="0"/>
      <w:bCs w:val="0"/>
      <w:iCs w:val="0"/>
      <w:sz w:val="22"/>
      <w:szCs w:val="20"/>
      <w:lang w:val="en-US"/>
    </w:rPr>
  </w:style>
  <w:style w:type="paragraph" w:customStyle="1" w:styleId="adr">
    <w:name w:val="adr"/>
    <w:basedOn w:val="Normal"/>
    <w:rsid w:val="0029266B"/>
    <w:pPr>
      <w:tabs>
        <w:tab w:val="left" w:pos="680"/>
        <w:tab w:val="right" w:pos="7683"/>
        <w:tab w:val="right" w:pos="9120"/>
      </w:tabs>
      <w:spacing w:line="240" w:lineRule="exact"/>
    </w:pPr>
    <w:rPr>
      <w:rFonts w:ascii="Univers 45 Light" w:hAnsi="Univers 45 Light"/>
      <w:sz w:val="16"/>
      <w:lang w:val="en-GB"/>
    </w:rPr>
  </w:style>
  <w:style w:type="paragraph" w:customStyle="1" w:styleId="tablesub">
    <w:name w:val="table sub__"/>
    <w:aliases w:val="ts_"/>
    <w:basedOn w:val="table1"/>
    <w:autoRedefine/>
    <w:rsid w:val="0029266B"/>
    <w:pPr>
      <w:spacing w:line="60" w:lineRule="exact"/>
    </w:pPr>
    <w:rPr>
      <w:position w:val="-4"/>
    </w:rPr>
  </w:style>
  <w:style w:type="paragraph" w:customStyle="1" w:styleId="tablet0">
    <w:name w:val="table t_"/>
    <w:aliases w:val="tt_"/>
    <w:basedOn w:val="table1"/>
    <w:rsid w:val="0029266B"/>
    <w:rPr>
      <w:sz w:val="18"/>
    </w:rPr>
  </w:style>
  <w:style w:type="paragraph" w:customStyle="1" w:styleId="tfl">
    <w:name w:val="tfl"/>
    <w:basedOn w:val="Normal"/>
    <w:rsid w:val="0029266B"/>
    <w:pPr>
      <w:spacing w:line="240" w:lineRule="exact"/>
    </w:pPr>
    <w:rPr>
      <w:rFonts w:ascii="Times" w:hAnsi="Times"/>
      <w:i/>
      <w:sz w:val="22"/>
      <w:lang w:val="en-GB"/>
    </w:rPr>
  </w:style>
  <w:style w:type="paragraph" w:customStyle="1" w:styleId="initialer">
    <w:name w:val="initialer"/>
    <w:aliases w:val="int"/>
    <w:basedOn w:val="Normal"/>
    <w:next w:val="Normal"/>
    <w:rsid w:val="0029266B"/>
    <w:pPr>
      <w:framePr w:w="9405" w:hSpace="180" w:vSpace="180" w:wrap="auto" w:hAnchor="text" w:yAlign="bottom"/>
      <w:spacing w:line="360" w:lineRule="atLeast"/>
    </w:pPr>
    <w:rPr>
      <w:rFonts w:ascii="Times" w:hAnsi="Times"/>
      <w:sz w:val="16"/>
      <w:lang w:val="en-GB"/>
    </w:rPr>
  </w:style>
  <w:style w:type="paragraph" w:customStyle="1" w:styleId="at">
    <w:name w:val="at"/>
    <w:basedOn w:val="Normal"/>
    <w:rsid w:val="0029266B"/>
    <w:pPr>
      <w:spacing w:after="260" w:line="260" w:lineRule="atLeast"/>
      <w:ind w:left="567" w:hanging="567"/>
      <w:jc w:val="both"/>
    </w:pPr>
    <w:rPr>
      <w:rFonts w:ascii="Times" w:hAnsi="Times"/>
      <w:sz w:val="22"/>
      <w:lang w:val="en-GB"/>
    </w:rPr>
  </w:style>
  <w:style w:type="paragraph" w:customStyle="1" w:styleId="citat2">
    <w:name w:val="citat2"/>
    <w:basedOn w:val="citat"/>
    <w:rsid w:val="0029266B"/>
    <w:pPr>
      <w:ind w:firstLine="0"/>
    </w:pPr>
  </w:style>
  <w:style w:type="paragraph" w:customStyle="1" w:styleId="citat">
    <w:name w:val="citat"/>
    <w:aliases w:val="c"/>
    <w:basedOn w:val="BodyText"/>
    <w:next w:val="citat2"/>
    <w:rsid w:val="0029266B"/>
    <w:pPr>
      <w:spacing w:after="260" w:line="260" w:lineRule="atLeast"/>
      <w:ind w:left="340" w:hanging="80"/>
    </w:pPr>
    <w:rPr>
      <w:rFonts w:ascii="Times" w:hAnsi="Times"/>
      <w:sz w:val="22"/>
    </w:rPr>
  </w:style>
  <w:style w:type="paragraph" w:customStyle="1" w:styleId="midtpjevs">
    <w:name w:val="midtpjevs"/>
    <w:basedOn w:val="Normal"/>
    <w:next w:val="Normal"/>
    <w:rsid w:val="0029266B"/>
    <w:pPr>
      <w:tabs>
        <w:tab w:val="center" w:pos="4400"/>
      </w:tabs>
      <w:spacing w:after="260" w:line="260" w:lineRule="atLeast"/>
      <w:jc w:val="center"/>
    </w:pPr>
    <w:rPr>
      <w:rFonts w:ascii="Times" w:hAnsi="Times"/>
      <w:b/>
      <w:spacing w:val="40"/>
      <w:sz w:val="28"/>
      <w:lang w:val="en-GB"/>
    </w:rPr>
  </w:style>
  <w:style w:type="paragraph" w:customStyle="1" w:styleId="mvh">
    <w:name w:val="mvh"/>
    <w:basedOn w:val="cj"/>
    <w:next w:val="underskrift"/>
    <w:rsid w:val="0029266B"/>
    <w:pPr>
      <w:jc w:val="left"/>
    </w:pPr>
  </w:style>
  <w:style w:type="paragraph" w:customStyle="1" w:styleId="note">
    <w:name w:val="note"/>
    <w:basedOn w:val="Normal"/>
    <w:next w:val="Normal"/>
    <w:rsid w:val="0029266B"/>
    <w:pPr>
      <w:keepNext/>
      <w:tabs>
        <w:tab w:val="left" w:pos="0"/>
        <w:tab w:val="right" w:pos="7683"/>
        <w:tab w:val="right" w:pos="9129"/>
      </w:tabs>
      <w:spacing w:line="260" w:lineRule="atLeast"/>
      <w:ind w:left="500" w:hanging="500"/>
    </w:pPr>
    <w:rPr>
      <w:rFonts w:ascii="Times" w:hAnsi="Times"/>
      <w:b/>
      <w:sz w:val="22"/>
      <w:lang w:val="en-GB"/>
    </w:rPr>
  </w:style>
  <w:style w:type="paragraph" w:customStyle="1" w:styleId="heading1fortsat">
    <w:name w:val="heading 1 fortsat"/>
    <w:aliases w:val="h1f"/>
    <w:basedOn w:val="Normal"/>
    <w:next w:val="Normal"/>
    <w:rsid w:val="0029266B"/>
    <w:pPr>
      <w:spacing w:before="400" w:after="600" w:line="320" w:lineRule="exact"/>
    </w:pPr>
    <w:rPr>
      <w:rFonts w:ascii="Times" w:hAnsi="Times"/>
      <w:b/>
      <w:caps/>
      <w:sz w:val="32"/>
      <w:lang w:val="da-DK"/>
    </w:rPr>
  </w:style>
  <w:style w:type="paragraph" w:customStyle="1" w:styleId="tableheading0">
    <w:name w:val="table&lt; heading"/>
    <w:aliases w:val="t&lt;h"/>
    <w:basedOn w:val="Normal"/>
    <w:next w:val="Normal"/>
    <w:rsid w:val="0029266B"/>
    <w:pPr>
      <w:spacing w:before="60" w:line="180" w:lineRule="exact"/>
      <w:ind w:left="60" w:right="60"/>
    </w:pPr>
    <w:rPr>
      <w:rFonts w:ascii="Times" w:hAnsi="Times"/>
      <w:sz w:val="18"/>
      <w:lang w:val="da-DK"/>
    </w:rPr>
  </w:style>
  <w:style w:type="paragraph" w:customStyle="1" w:styleId="Bulleted">
    <w:name w:val="Bulleted"/>
    <w:basedOn w:val="Normal"/>
    <w:rsid w:val="0029266B"/>
    <w:pPr>
      <w:tabs>
        <w:tab w:val="num" w:pos="720"/>
      </w:tabs>
      <w:spacing w:after="120"/>
      <w:ind w:left="720" w:hanging="360"/>
      <w:jc w:val="both"/>
    </w:pPr>
    <w:rPr>
      <w:rFonts w:ascii="Verdana" w:hAnsi="Verdana"/>
      <w:sz w:val="16"/>
      <w:szCs w:val="24"/>
      <w:lang w:val="lt-LT"/>
    </w:rPr>
  </w:style>
  <w:style w:type="paragraph" w:customStyle="1" w:styleId="Lentele">
    <w:name w:val="Lentele"/>
    <w:basedOn w:val="Normal"/>
    <w:rsid w:val="0029266B"/>
    <w:pPr>
      <w:spacing w:after="120"/>
      <w:jc w:val="both"/>
    </w:pPr>
    <w:rPr>
      <w:rFonts w:ascii="Verdana" w:hAnsi="Verdana"/>
      <w:sz w:val="16"/>
      <w:lang w:val="lt-LT"/>
    </w:rPr>
  </w:style>
  <w:style w:type="paragraph" w:customStyle="1" w:styleId="Prezidentas">
    <w:name w:val="Prezidentas"/>
    <w:rsid w:val="0029266B"/>
    <w:pPr>
      <w:tabs>
        <w:tab w:val="right" w:pos="9808"/>
      </w:tabs>
    </w:pPr>
    <w:rPr>
      <w:rFonts w:ascii="TimesLT" w:hAnsi="TimesLT"/>
      <w:caps/>
      <w:lang w:eastAsia="en-US"/>
    </w:rPr>
  </w:style>
  <w:style w:type="paragraph" w:customStyle="1" w:styleId="AANumbering">
    <w:name w:val="AA Numbering"/>
    <w:basedOn w:val="Normal"/>
    <w:rsid w:val="0029266B"/>
    <w:pPr>
      <w:tabs>
        <w:tab w:val="num" w:pos="283"/>
      </w:tabs>
      <w:spacing w:line="240" w:lineRule="atLeast"/>
      <w:ind w:left="283" w:hanging="283"/>
    </w:pPr>
    <w:rPr>
      <w:rFonts w:ascii="Arial" w:hAnsi="Arial"/>
      <w:sz w:val="18"/>
    </w:rPr>
  </w:style>
  <w:style w:type="paragraph" w:customStyle="1" w:styleId="xl27">
    <w:name w:val="xl27"/>
    <w:basedOn w:val="Normal"/>
    <w:rsid w:val="0029266B"/>
    <w:pPr>
      <w:spacing w:before="100" w:beforeAutospacing="1" w:after="100" w:afterAutospacing="1"/>
    </w:pPr>
    <w:rPr>
      <w:rFonts w:ascii="Tahoma" w:eastAsia="Arial Unicode MS" w:hAnsi="Tahoma" w:cs="Tahoma"/>
      <w:sz w:val="16"/>
      <w:szCs w:val="16"/>
      <w:lang w:val="lt-LT"/>
    </w:rPr>
  </w:style>
  <w:style w:type="paragraph" w:customStyle="1" w:styleId="xl48">
    <w:name w:val="xl48"/>
    <w:basedOn w:val="Normal"/>
    <w:rsid w:val="0029266B"/>
    <w:pPr>
      <w:pBdr>
        <w:left w:val="single" w:sz="4" w:space="0" w:color="auto"/>
      </w:pBdr>
      <w:spacing w:before="100" w:beforeAutospacing="1" w:after="100" w:afterAutospacing="1"/>
      <w:jc w:val="both"/>
    </w:pPr>
    <w:rPr>
      <w:rFonts w:ascii="Verdana" w:eastAsia="Arial Unicode MS" w:hAnsi="Verdana"/>
      <w:sz w:val="16"/>
      <w:szCs w:val="16"/>
      <w:lang w:val="en-GB"/>
    </w:rPr>
  </w:style>
  <w:style w:type="paragraph" w:customStyle="1" w:styleId="ps-000-normal">
    <w:name w:val="ps-000-normal"/>
    <w:basedOn w:val="Normal"/>
    <w:rsid w:val="0029266B"/>
    <w:pPr>
      <w:spacing w:before="100" w:beforeAutospacing="1" w:after="100" w:afterAutospacing="1"/>
    </w:pPr>
    <w:rPr>
      <w:rFonts w:ascii="Verdana" w:hAnsi="Verdana"/>
      <w:sz w:val="24"/>
      <w:szCs w:val="24"/>
    </w:rPr>
  </w:style>
  <w:style w:type="character" w:customStyle="1" w:styleId="tabletxtnsChar">
    <w:name w:val="tabletxtns Char"/>
    <w:link w:val="tabletxtns"/>
    <w:locked/>
    <w:rsid w:val="0029266B"/>
    <w:rPr>
      <w:rFonts w:ascii="EY Gothic Comp BookPS" w:hAnsi="EY Gothic Comp BookPS"/>
      <w:color w:val="000000"/>
      <w:lang w:val="en-GB"/>
    </w:rPr>
  </w:style>
  <w:style w:type="paragraph" w:customStyle="1" w:styleId="tabletxtns">
    <w:name w:val="tabletxtns"/>
    <w:basedOn w:val="Normal"/>
    <w:link w:val="tabletxtnsChar"/>
    <w:rsid w:val="0029266B"/>
    <w:pPr>
      <w:overflowPunct w:val="0"/>
      <w:autoSpaceDE w:val="0"/>
      <w:autoSpaceDN w:val="0"/>
      <w:adjustRightInd w:val="0"/>
      <w:spacing w:before="20" w:line="200" w:lineRule="exact"/>
    </w:pPr>
    <w:rPr>
      <w:rFonts w:ascii="EY Gothic Comp BookPS" w:hAnsi="EY Gothic Comp BookPS"/>
      <w:color w:val="000000"/>
      <w:lang w:val="en-GB"/>
    </w:rPr>
  </w:style>
  <w:style w:type="paragraph" w:customStyle="1" w:styleId="tabletxthdital">
    <w:name w:val="tabletxt hdital"/>
    <w:basedOn w:val="Normal"/>
    <w:rsid w:val="0029266B"/>
    <w:pPr>
      <w:tabs>
        <w:tab w:val="decimal" w:pos="782"/>
      </w:tabs>
      <w:overflowPunct w:val="0"/>
      <w:autoSpaceDE w:val="0"/>
      <w:autoSpaceDN w:val="0"/>
      <w:adjustRightInd w:val="0"/>
      <w:spacing w:before="20" w:line="200" w:lineRule="exact"/>
    </w:pPr>
    <w:rPr>
      <w:rFonts w:ascii="EY Gothic Comp BookPS" w:hAnsi="EY Gothic Comp BookPS"/>
      <w:i/>
      <w:sz w:val="16"/>
      <w:lang w:val="en-GB"/>
    </w:rPr>
  </w:style>
  <w:style w:type="character" w:customStyle="1" w:styleId="tabletxtsChar">
    <w:name w:val="tabletxt #s Char"/>
    <w:link w:val="tabletxts"/>
    <w:locked/>
    <w:rsid w:val="0029266B"/>
    <w:rPr>
      <w:rFonts w:ascii="EY Gothic Comp BookPS" w:hAnsi="EY Gothic Comp BookPS"/>
      <w:noProof/>
      <w:color w:val="000000"/>
      <w:lang w:val="en-GB"/>
    </w:rPr>
  </w:style>
  <w:style w:type="paragraph" w:customStyle="1" w:styleId="tabletxts">
    <w:name w:val="tabletxt #s"/>
    <w:basedOn w:val="Normal"/>
    <w:link w:val="tabletxtsChar"/>
    <w:rsid w:val="0029266B"/>
    <w:pPr>
      <w:tabs>
        <w:tab w:val="decimal" w:pos="778"/>
      </w:tabs>
      <w:overflowPunct w:val="0"/>
      <w:autoSpaceDE w:val="0"/>
      <w:autoSpaceDN w:val="0"/>
      <w:adjustRightInd w:val="0"/>
      <w:spacing w:before="20" w:line="200" w:lineRule="exact"/>
    </w:pPr>
    <w:rPr>
      <w:rFonts w:ascii="EY Gothic Comp BookPS" w:hAnsi="EY Gothic Comp BookPS"/>
      <w:noProof/>
      <w:color w:val="000000"/>
      <w:lang w:val="en-GB"/>
    </w:rPr>
  </w:style>
  <w:style w:type="character" w:customStyle="1" w:styleId="tabletxthdChar">
    <w:name w:val="tabletxthd Char"/>
    <w:link w:val="tabletxthd"/>
    <w:locked/>
    <w:rsid w:val="0029266B"/>
    <w:rPr>
      <w:rFonts w:ascii="EY Gothic Comp BookPS" w:hAnsi="EY Gothic Comp BookPS"/>
      <w:b/>
      <w:bCs/>
      <w:noProof/>
      <w:color w:val="000000"/>
      <w:lang w:val="en-GB"/>
    </w:rPr>
  </w:style>
  <w:style w:type="paragraph" w:customStyle="1" w:styleId="tabletxthd">
    <w:name w:val="tabletxthd"/>
    <w:basedOn w:val="Normal"/>
    <w:link w:val="tabletxthdChar"/>
    <w:rsid w:val="0029266B"/>
    <w:pPr>
      <w:overflowPunct w:val="0"/>
      <w:autoSpaceDE w:val="0"/>
      <w:autoSpaceDN w:val="0"/>
      <w:adjustRightInd w:val="0"/>
      <w:spacing w:before="20" w:line="200" w:lineRule="exact"/>
    </w:pPr>
    <w:rPr>
      <w:rFonts w:ascii="EY Gothic Comp BookPS" w:hAnsi="EY Gothic Comp BookPS"/>
      <w:b/>
      <w:bCs/>
      <w:noProof/>
      <w:color w:val="000000"/>
      <w:lang w:val="en-GB"/>
    </w:rPr>
  </w:style>
  <w:style w:type="character" w:customStyle="1" w:styleId="tabletxteygChar">
    <w:name w:val="tabletxt eyg Char"/>
    <w:link w:val="tabletxteyg"/>
    <w:locked/>
    <w:rsid w:val="0029266B"/>
    <w:rPr>
      <w:rFonts w:ascii="EY Gothic Comp BookPS" w:hAnsi="EY Gothic Comp BookPS"/>
      <w:color w:val="000000"/>
      <w:lang w:val="en-GB"/>
    </w:rPr>
  </w:style>
  <w:style w:type="paragraph" w:customStyle="1" w:styleId="tabletxteyg">
    <w:name w:val="tabletxt eyg"/>
    <w:basedOn w:val="Normal"/>
    <w:link w:val="tabletxteygChar"/>
    <w:rsid w:val="0029266B"/>
    <w:pPr>
      <w:tabs>
        <w:tab w:val="right" w:leader="dot" w:pos="9739"/>
      </w:tabs>
      <w:overflowPunct w:val="0"/>
      <w:autoSpaceDE w:val="0"/>
      <w:autoSpaceDN w:val="0"/>
      <w:adjustRightInd w:val="0"/>
      <w:spacing w:before="20" w:after="40" w:line="240" w:lineRule="exact"/>
    </w:pPr>
    <w:rPr>
      <w:rFonts w:ascii="EY Gothic Comp BookPS" w:hAnsi="EY Gothic Comp BookPS"/>
      <w:color w:val="000000"/>
      <w:lang w:val="en-GB"/>
    </w:rPr>
  </w:style>
  <w:style w:type="character" w:customStyle="1" w:styleId="tabletxtssmChar">
    <w:name w:val="tabletxt #s sm Char"/>
    <w:link w:val="tabletxtssm"/>
    <w:locked/>
    <w:rsid w:val="0029266B"/>
  </w:style>
  <w:style w:type="paragraph" w:customStyle="1" w:styleId="tabletxtssm">
    <w:name w:val="tabletxt #s sm"/>
    <w:basedOn w:val="tabletxts"/>
    <w:link w:val="tabletxtssmChar"/>
    <w:rsid w:val="0029266B"/>
    <w:pPr>
      <w:tabs>
        <w:tab w:val="clear" w:pos="778"/>
        <w:tab w:val="decimal" w:pos="504"/>
      </w:tabs>
    </w:pPr>
    <w:rPr>
      <w:rFonts w:ascii="Times New Roman" w:hAnsi="Times New Roman"/>
      <w:noProof w:val="0"/>
      <w:color w:val="auto"/>
      <w:lang w:val="en-US"/>
    </w:rPr>
  </w:style>
  <w:style w:type="paragraph" w:customStyle="1" w:styleId="Heading7BookAntiqua">
    <w:name w:val="Heading 7 + Book Antiqua"/>
    <w:aliases w:val="9 pt,Left,Before:  0 pt,After:  0 pt"/>
    <w:basedOn w:val="Heading7"/>
    <w:rsid w:val="0029266B"/>
    <w:pPr>
      <w:keepNext/>
      <w:tabs>
        <w:tab w:val="clear" w:pos="360"/>
        <w:tab w:val="num" w:pos="0"/>
      </w:tabs>
      <w:autoSpaceDE w:val="0"/>
      <w:autoSpaceDN w:val="0"/>
      <w:adjustRightInd w:val="0"/>
      <w:spacing w:before="0" w:after="0"/>
      <w:ind w:hanging="360"/>
      <w:jc w:val="left"/>
    </w:pPr>
    <w:rPr>
      <w:rFonts w:ascii="Book Antiqua" w:hAnsi="Book Antiqua"/>
      <w:sz w:val="18"/>
    </w:rPr>
  </w:style>
  <w:style w:type="paragraph" w:customStyle="1" w:styleId="BodyText1">
    <w:name w:val="Body Text1"/>
    <w:rsid w:val="0029266B"/>
    <w:pPr>
      <w:ind w:firstLine="312"/>
      <w:jc w:val="both"/>
    </w:pPr>
    <w:rPr>
      <w:rFonts w:ascii="TimesLT" w:hAnsi="TimesLT"/>
      <w:lang w:eastAsia="en-US"/>
    </w:rPr>
  </w:style>
  <w:style w:type="paragraph" w:customStyle="1" w:styleId="tabletxteyg2af">
    <w:name w:val="tabletxt eyg 2af"/>
    <w:basedOn w:val="Normal"/>
    <w:rsid w:val="0029266B"/>
    <w:pPr>
      <w:tabs>
        <w:tab w:val="right" w:leader="dot" w:pos="9739"/>
      </w:tabs>
      <w:overflowPunct w:val="0"/>
      <w:autoSpaceDE w:val="0"/>
      <w:autoSpaceDN w:val="0"/>
      <w:adjustRightInd w:val="0"/>
      <w:spacing w:before="20" w:after="40" w:line="240" w:lineRule="exact"/>
    </w:pPr>
    <w:rPr>
      <w:rFonts w:ascii="EY Gothic Comp BookPS" w:hAnsi="EY Gothic Comp BookPS"/>
      <w:color w:val="000000"/>
      <w:sz w:val="16"/>
      <w:lang w:val="en-GB"/>
    </w:rPr>
  </w:style>
  <w:style w:type="paragraph" w:customStyle="1" w:styleId="AAheadingwocontents">
    <w:name w:val="AA heading wo contents"/>
    <w:basedOn w:val="Normal"/>
    <w:rsid w:val="0029266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rFonts w:ascii="Verdana" w:hAnsi="Verdana"/>
      <w:b/>
      <w:sz w:val="22"/>
    </w:rPr>
  </w:style>
  <w:style w:type="paragraph" w:customStyle="1" w:styleId="Indent">
    <w:name w:val="Indent"/>
    <w:rsid w:val="0029266B"/>
    <w:pPr>
      <w:widowControl w:val="0"/>
      <w:autoSpaceDE w:val="0"/>
      <w:autoSpaceDN w:val="0"/>
      <w:adjustRightInd w:val="0"/>
      <w:spacing w:after="120"/>
      <w:ind w:left="540"/>
    </w:pPr>
    <w:rPr>
      <w:rFonts w:ascii="Arial" w:hAnsi="Arial"/>
      <w:sz w:val="24"/>
      <w:szCs w:val="24"/>
      <w:lang w:val="en-US" w:eastAsia="en-US"/>
    </w:rPr>
  </w:style>
  <w:style w:type="paragraph" w:customStyle="1" w:styleId="ISTATYMAS">
    <w:name w:val="ISTATYMAS"/>
    <w:rsid w:val="0029266B"/>
    <w:pPr>
      <w:jc w:val="center"/>
    </w:pPr>
    <w:rPr>
      <w:rFonts w:ascii="TimesLT" w:hAnsi="TimesLT"/>
      <w:lang w:eastAsia="en-US"/>
    </w:rPr>
  </w:style>
  <w:style w:type="paragraph" w:customStyle="1" w:styleId="CentrBold">
    <w:name w:val="CentrBold"/>
    <w:rsid w:val="0029266B"/>
    <w:pPr>
      <w:jc w:val="center"/>
    </w:pPr>
    <w:rPr>
      <w:rFonts w:ascii="TimesLT" w:hAnsi="TimesLT"/>
      <w:b/>
      <w:caps/>
      <w:lang w:eastAsia="en-US"/>
    </w:rPr>
  </w:style>
  <w:style w:type="paragraph" w:customStyle="1" w:styleId="Heading1times">
    <w:name w:val="Heading 1 _ times"/>
    <w:basedOn w:val="Heading1"/>
    <w:rsid w:val="0029266B"/>
    <w:pPr>
      <w:tabs>
        <w:tab w:val="clear" w:pos="540"/>
      </w:tabs>
      <w:spacing w:before="240" w:after="60"/>
    </w:pPr>
    <w:rPr>
      <w:sz w:val="32"/>
      <w:lang w:val="lt-LT" w:eastAsia="lt-LT"/>
    </w:rPr>
  </w:style>
  <w:style w:type="paragraph" w:customStyle="1" w:styleId="Fait">
    <w:name w:val="Fait ?"/>
    <w:basedOn w:val="Normal"/>
    <w:next w:val="Normal"/>
    <w:rsid w:val="0029266B"/>
    <w:pPr>
      <w:spacing w:before="120" w:after="120"/>
      <w:jc w:val="both"/>
    </w:pPr>
    <w:rPr>
      <w:rFonts w:ascii="Verdana" w:hAnsi="Verdana"/>
      <w:sz w:val="16"/>
      <w:szCs w:val="24"/>
      <w:lang w:val="en-GB"/>
    </w:rPr>
  </w:style>
  <w:style w:type="paragraph" w:customStyle="1" w:styleId="xl24">
    <w:name w:val="xl24"/>
    <w:basedOn w:val="Normal"/>
    <w:rsid w:val="0029266B"/>
    <w:pPr>
      <w:spacing w:before="100" w:beforeAutospacing="1" w:after="100" w:afterAutospacing="1"/>
    </w:pPr>
    <w:rPr>
      <w:rFonts w:ascii="CenturyCondensed" w:eastAsia="Arial Unicode MS" w:hAnsi="CenturyCondensed" w:cs="Arial Unicode MS"/>
      <w:color w:val="000000"/>
      <w:sz w:val="24"/>
      <w:szCs w:val="24"/>
    </w:rPr>
  </w:style>
  <w:style w:type="paragraph" w:customStyle="1" w:styleId="StyleHeading2">
    <w:name w:val="Style Heading 2"/>
    <w:aliases w:val="h2 + 10 pt Not Bold Left Before:  18 pt"/>
    <w:basedOn w:val="Heading2"/>
    <w:rsid w:val="0029266B"/>
    <w:pPr>
      <w:tabs>
        <w:tab w:val="num" w:pos="360"/>
      </w:tabs>
      <w:spacing w:before="240" w:after="120"/>
      <w:jc w:val="left"/>
    </w:pPr>
    <w:rPr>
      <w:bCs w:val="0"/>
      <w:iCs w:val="0"/>
      <w:sz w:val="20"/>
      <w:szCs w:val="20"/>
      <w:lang w:val="lt-LT"/>
    </w:rPr>
  </w:style>
  <w:style w:type="paragraph" w:customStyle="1" w:styleId="StyleHeading1">
    <w:name w:val="Style Heading 1"/>
    <w:aliases w:val="h1 + Book Antiqua 10 pt"/>
    <w:basedOn w:val="Heading1"/>
    <w:rsid w:val="0029266B"/>
    <w:pPr>
      <w:tabs>
        <w:tab w:val="clear" w:pos="540"/>
        <w:tab w:val="num" w:pos="360"/>
      </w:tabs>
      <w:spacing w:before="120" w:after="120"/>
    </w:pPr>
    <w:rPr>
      <w:rFonts w:ascii="Book Antiqua" w:hAnsi="Book Antiqua"/>
      <w:caps/>
      <w:kern w:val="0"/>
      <w:sz w:val="24"/>
      <w:szCs w:val="24"/>
      <w:lang w:val="lt-LT"/>
    </w:rPr>
  </w:style>
  <w:style w:type="paragraph" w:customStyle="1" w:styleId="StyleHeading3BoldAutoBefore0ptAfter6pt">
    <w:name w:val="Style Heading 3 + Bold Auto Before:  0 pt After:  6 pt"/>
    <w:basedOn w:val="Heading3"/>
    <w:rsid w:val="0029266B"/>
    <w:pPr>
      <w:tabs>
        <w:tab w:val="clear" w:pos="720"/>
        <w:tab w:val="num" w:pos="360"/>
      </w:tabs>
      <w:spacing w:after="120"/>
    </w:pPr>
    <w:rPr>
      <w:color w:val="auto"/>
      <w:sz w:val="20"/>
      <w:szCs w:val="20"/>
      <w:lang w:val="lt-LT"/>
    </w:rPr>
  </w:style>
  <w:style w:type="paragraph" w:customStyle="1" w:styleId="StyleHeading12">
    <w:name w:val="Style Heading 12"/>
    <w:aliases w:val="h2 + 10 pt"/>
    <w:basedOn w:val="Heading2"/>
    <w:rsid w:val="0029266B"/>
    <w:pPr>
      <w:tabs>
        <w:tab w:val="num" w:pos="360"/>
      </w:tabs>
      <w:spacing w:before="120" w:after="120"/>
    </w:pPr>
    <w:rPr>
      <w:iCs w:val="0"/>
      <w:sz w:val="20"/>
      <w:szCs w:val="22"/>
      <w:lang w:val="lt-LT"/>
    </w:rPr>
  </w:style>
  <w:style w:type="paragraph" w:customStyle="1" w:styleId="Heading2times">
    <w:name w:val="Heading 2 _ times"/>
    <w:basedOn w:val="Heading2"/>
    <w:rsid w:val="0029266B"/>
    <w:pPr>
      <w:spacing w:before="240" w:after="60"/>
      <w:jc w:val="left"/>
    </w:pPr>
    <w:rPr>
      <w:i/>
      <w:sz w:val="28"/>
      <w:szCs w:val="28"/>
      <w:lang w:val="lt-LT" w:eastAsia="lt-LT"/>
    </w:rPr>
  </w:style>
  <w:style w:type="paragraph" w:customStyle="1" w:styleId="StandaardOpinion">
    <w:name w:val="StandaardOpinion"/>
    <w:basedOn w:val="Normal"/>
    <w:rsid w:val="0029266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jc w:val="both"/>
    </w:pPr>
    <w:rPr>
      <w:rFonts w:ascii="Verdana" w:hAnsi="Verdana"/>
      <w:sz w:val="22"/>
    </w:rPr>
  </w:style>
  <w:style w:type="paragraph" w:customStyle="1" w:styleId="NormalCentered">
    <w:name w:val="Normal Centered"/>
    <w:basedOn w:val="Normal"/>
    <w:rsid w:val="0029266B"/>
    <w:pPr>
      <w:jc w:val="center"/>
    </w:pPr>
    <w:rPr>
      <w:rFonts w:ascii="Verdana" w:hAnsi="Verdana"/>
      <w:sz w:val="16"/>
      <w:lang w:val="lt-LT"/>
    </w:rPr>
  </w:style>
  <w:style w:type="paragraph" w:customStyle="1" w:styleId="Default">
    <w:name w:val="Default"/>
    <w:rsid w:val="0029266B"/>
    <w:pPr>
      <w:widowControl w:val="0"/>
      <w:autoSpaceDE w:val="0"/>
      <w:autoSpaceDN w:val="0"/>
      <w:adjustRightInd w:val="0"/>
    </w:pPr>
    <w:rPr>
      <w:rFonts w:ascii="Times" w:hAnsi="Times" w:cs="Times"/>
      <w:color w:val="000000"/>
      <w:sz w:val="24"/>
      <w:szCs w:val="24"/>
      <w:lang w:val="en-US" w:eastAsia="en-US"/>
    </w:rPr>
  </w:style>
  <w:style w:type="paragraph" w:customStyle="1" w:styleId="CharChar25">
    <w:name w:val="Char Char25"/>
    <w:basedOn w:val="Normal"/>
    <w:uiPriority w:val="99"/>
    <w:rsid w:val="0029266B"/>
    <w:pPr>
      <w:spacing w:after="120" w:line="360" w:lineRule="auto"/>
    </w:pPr>
    <w:rPr>
      <w:rFonts w:ascii="Verdana" w:eastAsia="Batang" w:hAnsi="Verdana"/>
      <w:szCs w:val="24"/>
      <w:lang w:val="pl-PL" w:eastAsia="pl-PL"/>
    </w:rPr>
  </w:style>
  <w:style w:type="paragraph" w:customStyle="1" w:styleId="A-Poziom5">
    <w:name w:val="A - Poziom 5"/>
    <w:basedOn w:val="Normal"/>
    <w:uiPriority w:val="99"/>
    <w:rsid w:val="0029266B"/>
    <w:pPr>
      <w:spacing w:before="120"/>
      <w:ind w:left="720" w:hanging="360"/>
      <w:jc w:val="both"/>
    </w:pPr>
    <w:rPr>
      <w:rFonts w:ascii="Arial" w:hAnsi="Arial"/>
      <w:sz w:val="22"/>
      <w:lang w:val="pl-PL"/>
    </w:rPr>
  </w:style>
  <w:style w:type="character" w:customStyle="1" w:styleId="Styl9ptWyjustowanyPo6ptZnakZnak">
    <w:name w:val="Styl 9 pt Wyjustowany Po:  6 pt Znak Znak"/>
    <w:link w:val="Styl9ptWyjustowanyPo6ptZnak"/>
    <w:uiPriority w:val="99"/>
    <w:locked/>
    <w:rsid w:val="0029266B"/>
    <w:rPr>
      <w:sz w:val="22"/>
      <w:lang w:val="pl-PL" w:eastAsia="pl-PL"/>
    </w:rPr>
  </w:style>
  <w:style w:type="paragraph" w:customStyle="1" w:styleId="Styl9ptWyjustowanyPo6ptZnak">
    <w:name w:val="Styl 9 pt Wyjustowany Po:  6 pt Znak"/>
    <w:basedOn w:val="Normal"/>
    <w:link w:val="Styl9ptWyjustowanyPo6ptZnakZnak"/>
    <w:autoRedefine/>
    <w:uiPriority w:val="99"/>
    <w:rsid w:val="0029266B"/>
    <w:rPr>
      <w:sz w:val="22"/>
      <w:lang w:val="pl-PL" w:eastAsia="pl-PL"/>
    </w:rPr>
  </w:style>
  <w:style w:type="paragraph" w:customStyle="1" w:styleId="BodyText10">
    <w:name w:val="Body Text 1"/>
    <w:basedOn w:val="BodyText"/>
    <w:uiPriority w:val="99"/>
    <w:rsid w:val="0029266B"/>
    <w:rPr>
      <w:rFonts w:ascii="Times New Roman" w:hAnsi="Times New Roman"/>
      <w:sz w:val="24"/>
      <w:lang w:val="pl-PL" w:eastAsia="pl-PL"/>
    </w:rPr>
  </w:style>
  <w:style w:type="paragraph" w:customStyle="1" w:styleId="BodyText21">
    <w:name w:val="Body Text 21"/>
    <w:basedOn w:val="Normal"/>
    <w:uiPriority w:val="99"/>
    <w:rsid w:val="0029266B"/>
    <w:pPr>
      <w:widowControl w:val="0"/>
      <w:suppressAutoHyphens/>
      <w:overflowPunct w:val="0"/>
      <w:autoSpaceDE w:val="0"/>
      <w:spacing w:before="120"/>
      <w:jc w:val="both"/>
    </w:pPr>
    <w:rPr>
      <w:rFonts w:ascii="Arial" w:hAnsi="Arial"/>
      <w:b/>
      <w:sz w:val="26"/>
      <w:lang w:val="pl-PL" w:eastAsia="ar-SA"/>
    </w:rPr>
  </w:style>
  <w:style w:type="paragraph" w:customStyle="1" w:styleId="Numeric3">
    <w:name w:val="Numeric 3"/>
    <w:basedOn w:val="Normal"/>
    <w:uiPriority w:val="99"/>
    <w:rsid w:val="0029266B"/>
    <w:pPr>
      <w:tabs>
        <w:tab w:val="num" w:pos="360"/>
      </w:tabs>
      <w:spacing w:after="120" w:line="336" w:lineRule="auto"/>
      <w:ind w:left="360" w:hanging="360"/>
    </w:pPr>
    <w:rPr>
      <w:rFonts w:ascii="Arial" w:hAnsi="Arial"/>
      <w:w w:val="105"/>
      <w:kern w:val="20"/>
      <w:lang w:val="en-GB" w:eastAsia="pl-PL"/>
    </w:rPr>
  </w:style>
  <w:style w:type="paragraph" w:customStyle="1" w:styleId="ListParagraph1">
    <w:name w:val="List Paragraph1"/>
    <w:basedOn w:val="Normal"/>
    <w:qFormat/>
    <w:rsid w:val="0029266B"/>
    <w:pPr>
      <w:ind w:left="1296"/>
    </w:pPr>
    <w:rPr>
      <w:rFonts w:ascii="Verdana" w:hAnsi="Verdana"/>
      <w:sz w:val="24"/>
    </w:rPr>
  </w:style>
  <w:style w:type="paragraph" w:customStyle="1" w:styleId="HTMLPreformatted1">
    <w:name w:val="HTML Preformatted1"/>
    <w:basedOn w:val="Normal"/>
    <w:rsid w:val="0029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lt-LT" w:eastAsia="lt-LT"/>
    </w:rPr>
  </w:style>
  <w:style w:type="paragraph" w:customStyle="1" w:styleId="StyleHeading3BoldAutoBefore0ptAfter6pt8pt">
    <w:name w:val="Style Heading 3 + Bold Auto Before:  0 pt After:  6 pt + 8 pt"/>
    <w:aliases w:val="Right:  -0,06 ..."/>
    <w:basedOn w:val="Normal"/>
    <w:rsid w:val="0029266B"/>
    <w:pPr>
      <w:keepNext/>
      <w:tabs>
        <w:tab w:val="left" w:pos="900"/>
      </w:tabs>
      <w:spacing w:after="120"/>
      <w:ind w:right="-32"/>
      <w:jc w:val="both"/>
    </w:pPr>
    <w:rPr>
      <w:rFonts w:ascii="Verdana" w:hAnsi="Verdana"/>
      <w:b/>
      <w:sz w:val="16"/>
      <w:szCs w:val="16"/>
      <w:lang w:val="en-GB"/>
    </w:rPr>
  </w:style>
  <w:style w:type="character" w:customStyle="1" w:styleId="noteChar">
    <w:name w:val="note Char"/>
    <w:rsid w:val="0029266B"/>
    <w:rPr>
      <w:rFonts w:ascii="Times" w:hAnsi="Times" w:cs="Times" w:hint="default"/>
      <w:b/>
      <w:bCs w:val="0"/>
      <w:sz w:val="22"/>
      <w:lang w:val="en-GB" w:eastAsia="en-US" w:bidi="ar-SA"/>
    </w:rPr>
  </w:style>
  <w:style w:type="character" w:customStyle="1" w:styleId="CharChar">
    <w:name w:val="Char Char"/>
    <w:rsid w:val="0029266B"/>
    <w:rPr>
      <w:sz w:val="22"/>
      <w:lang w:val="en-US" w:eastAsia="en-US" w:bidi="ar-SA"/>
    </w:rPr>
  </w:style>
  <w:style w:type="character" w:customStyle="1" w:styleId="h2CharChar">
    <w:name w:val="h2 Char Char"/>
    <w:rsid w:val="0029266B"/>
    <w:rPr>
      <w:b/>
      <w:bCs w:val="0"/>
      <w:sz w:val="28"/>
      <w:lang w:val="en-US" w:eastAsia="en-US" w:bidi="ar-SA"/>
    </w:rPr>
  </w:style>
  <w:style w:type="character" w:customStyle="1" w:styleId="h1CharChar">
    <w:name w:val="h1 Char Char"/>
    <w:rsid w:val="0029266B"/>
    <w:rPr>
      <w:b/>
      <w:bCs w:val="0"/>
      <w:sz w:val="32"/>
      <w:lang w:val="en-US" w:eastAsia="en-US" w:bidi="ar-SA"/>
    </w:rPr>
  </w:style>
  <w:style w:type="character" w:customStyle="1" w:styleId="datametai">
    <w:name w:val="datametai"/>
    <w:rsid w:val="0029266B"/>
  </w:style>
  <w:style w:type="character" w:customStyle="1" w:styleId="shorttext">
    <w:name w:val="short_text"/>
    <w:rsid w:val="0029266B"/>
  </w:style>
  <w:style w:type="character" w:customStyle="1" w:styleId="DeltaViewMoveDestination">
    <w:name w:val="DeltaView Move Destination"/>
    <w:rsid w:val="0029266B"/>
    <w:rPr>
      <w:color w:val="00C000"/>
      <w:u w:val="double"/>
    </w:rPr>
  </w:style>
  <w:style w:type="character" w:customStyle="1" w:styleId="apple-converted-space">
    <w:name w:val="apple-converted-space"/>
    <w:rsid w:val="0029266B"/>
  </w:style>
  <w:style w:type="paragraph" w:customStyle="1" w:styleId="Style149">
    <w:name w:val="Style149"/>
    <w:basedOn w:val="Normal"/>
    <w:rsid w:val="002A3235"/>
    <w:pPr>
      <w:widowControl w:val="0"/>
      <w:autoSpaceDE w:val="0"/>
      <w:autoSpaceDN w:val="0"/>
      <w:adjustRightInd w:val="0"/>
      <w:spacing w:line="257" w:lineRule="exact"/>
      <w:jc w:val="both"/>
    </w:pPr>
    <w:rPr>
      <w:sz w:val="24"/>
      <w:szCs w:val="24"/>
      <w:lang w:val="lt-LT" w:eastAsia="lt-LT"/>
    </w:rPr>
  </w:style>
  <w:style w:type="paragraph" w:styleId="NormalWeb">
    <w:name w:val="Normal (Web)"/>
    <w:basedOn w:val="Normal"/>
    <w:uiPriority w:val="99"/>
    <w:unhideWhenUsed/>
    <w:rsid w:val="009C6700"/>
    <w:pPr>
      <w:spacing w:before="100" w:beforeAutospacing="1" w:after="100" w:afterAutospacing="1"/>
    </w:pPr>
    <w:rPr>
      <w:sz w:val="24"/>
      <w:szCs w:val="24"/>
      <w:lang w:val="lt-LT" w:eastAsia="lt-LT"/>
    </w:rPr>
  </w:style>
  <w:style w:type="paragraph" w:styleId="Revision">
    <w:name w:val="Revision"/>
    <w:hidden/>
    <w:uiPriority w:val="99"/>
    <w:semiHidden/>
    <w:rsid w:val="00C45E14"/>
    <w:rPr>
      <w:lang w:val="en-US" w:eastAsia="en-US"/>
    </w:rPr>
  </w:style>
  <w:style w:type="character" w:customStyle="1" w:styleId="DeltaViewDeletion">
    <w:name w:val="DeltaView Deletion"/>
    <w:rsid w:val="002628EF"/>
    <w:rPr>
      <w:strike/>
      <w:color w:val="FF0000"/>
      <w:spacing w:val="0"/>
    </w:rPr>
  </w:style>
  <w:style w:type="character" w:styleId="FollowedHyperlink">
    <w:name w:val="FollowedHyperlink"/>
    <w:semiHidden/>
    <w:unhideWhenUsed/>
    <w:rsid w:val="0022273F"/>
    <w:rPr>
      <w:color w:val="800080"/>
      <w:u w:val="single"/>
    </w:rPr>
  </w:style>
  <w:style w:type="character" w:customStyle="1" w:styleId="UnresolvedMention1">
    <w:name w:val="Unresolved Mention1"/>
    <w:uiPriority w:val="99"/>
    <w:semiHidden/>
    <w:unhideWhenUsed/>
    <w:rsid w:val="00AF34BB"/>
    <w:rPr>
      <w:color w:val="808080"/>
      <w:shd w:val="clear" w:color="auto" w:fill="E6E6E6"/>
    </w:rPr>
  </w:style>
  <w:style w:type="paragraph" w:styleId="TOC4">
    <w:name w:val="toc 4"/>
    <w:basedOn w:val="Normal"/>
    <w:next w:val="Normal"/>
    <w:autoRedefine/>
    <w:uiPriority w:val="39"/>
    <w:semiHidden/>
    <w:unhideWhenUsed/>
    <w:rsid w:val="00753C9C"/>
    <w:pPr>
      <w:ind w:left="600"/>
    </w:pPr>
  </w:style>
  <w:style w:type="paragraph" w:customStyle="1" w:styleId="DeltaViewTableBody">
    <w:name w:val="DeltaView Table Body"/>
    <w:basedOn w:val="Normal"/>
    <w:rsid w:val="00753C9C"/>
    <w:pPr>
      <w:numPr>
        <w:numId w:val="10"/>
      </w:numPr>
      <w:tabs>
        <w:tab w:val="clear" w:pos="737"/>
      </w:tabs>
      <w:autoSpaceDE w:val="0"/>
      <w:autoSpaceDN w:val="0"/>
      <w:adjustRightInd w:val="0"/>
      <w:ind w:left="0" w:firstLine="0"/>
    </w:pPr>
    <w:rPr>
      <w:rFonts w:ascii="Arial" w:hAnsi="Arial"/>
      <w:sz w:val="24"/>
      <w:szCs w:val="24"/>
    </w:rPr>
  </w:style>
  <w:style w:type="paragraph" w:customStyle="1" w:styleId="BMBullet">
    <w:name w:val="B&amp;M Bullet"/>
    <w:basedOn w:val="BMBodyText"/>
    <w:link w:val="BMBulletCharChar"/>
    <w:rsid w:val="00753C9C"/>
    <w:pPr>
      <w:numPr>
        <w:numId w:val="11"/>
      </w:numPr>
    </w:pPr>
    <w:rPr>
      <w:rFonts w:ascii="Cambria" w:eastAsia="MS Mincho" w:hAnsi="Cambria"/>
      <w:szCs w:val="20"/>
    </w:rPr>
  </w:style>
  <w:style w:type="character" w:customStyle="1" w:styleId="BMBulletCharChar">
    <w:name w:val="B&amp;M Bullet Char Char"/>
    <w:link w:val="BMBullet"/>
    <w:rsid w:val="00753C9C"/>
    <w:rPr>
      <w:rFonts w:ascii="Cambria" w:eastAsia="MS Mincho" w:hAnsi="Cambria"/>
      <w:bCs/>
      <w:noProof/>
      <w:lang w:val="en-US" w:eastAsia="en-US"/>
    </w:rPr>
  </w:style>
  <w:style w:type="character" w:customStyle="1" w:styleId="FontStyle25">
    <w:name w:val="Font Style25"/>
    <w:uiPriority w:val="99"/>
    <w:rsid w:val="007C1AD6"/>
    <w:rPr>
      <w:rFonts w:ascii="Times New Roman" w:hAnsi="Times New Roman" w:cs="Times New Roman" w:hint="default"/>
      <w:sz w:val="20"/>
      <w:szCs w:val="20"/>
    </w:rPr>
  </w:style>
  <w:style w:type="paragraph" w:customStyle="1" w:styleId="KLGIPOBody">
    <w:name w:val="KLG IPO Body"/>
    <w:uiPriority w:val="1"/>
    <w:qFormat/>
    <w:rsid w:val="00746BC0"/>
    <w:pPr>
      <w:spacing w:before="120" w:after="120" w:line="240" w:lineRule="atLeast"/>
      <w:jc w:val="both"/>
    </w:pPr>
    <w:rPr>
      <w:rFonts w:eastAsia="PMingLiU" w:cs="Segoe Script"/>
      <w:color w:val="000000"/>
      <w:szCs w:val="22"/>
      <w:lang w:eastAsia="en-US"/>
    </w:rPr>
  </w:style>
  <w:style w:type="paragraph" w:customStyle="1" w:styleId="Heading3Left0cm">
    <w:name w:val="Heading 3 + Left:  0 cm"/>
    <w:aliases w:val="Before:  6 pt + Bold + Bold + Bold + Bold + Bold + Bo..."/>
    <w:basedOn w:val="Normal"/>
    <w:link w:val="Heading3Left0cmBefore6ptBoldBoldBoldBoldBoldBoCharChar"/>
    <w:rsid w:val="005B0C9B"/>
    <w:rPr>
      <w:rFonts w:ascii="Arial" w:eastAsia="PMingLiU" w:hAnsi="Arial"/>
      <w:sz w:val="18"/>
      <w:szCs w:val="24"/>
      <w:lang w:val="lt-LT"/>
    </w:rPr>
  </w:style>
  <w:style w:type="character" w:customStyle="1" w:styleId="Heading3Left0cmBefore6ptBoldBoldBoldBoldBoldBoCharChar">
    <w:name w:val="Heading 3 + Left:  0 cm;Before:  6 pt + Bold + Bold + Bold + Bold + Bold + Bo... Char Char"/>
    <w:link w:val="Heading3Left0cm"/>
    <w:rsid w:val="005B0C9B"/>
    <w:rPr>
      <w:rFonts w:ascii="Arial" w:eastAsia="PMingLiU" w:hAnsi="Arial"/>
      <w:sz w:val="18"/>
      <w:szCs w:val="24"/>
      <w:lang w:val="lt-LT" w:eastAsia="en-US"/>
    </w:rPr>
  </w:style>
  <w:style w:type="character" w:customStyle="1" w:styleId="BodyTextChar1">
    <w:name w:val="Body Text Char1"/>
    <w:rsid w:val="00D912A5"/>
    <w:rPr>
      <w:rFonts w:ascii="Times New Roman" w:eastAsia="Times New Roman" w:hAnsi="Times New Roman" w:cs="Times New Roman"/>
      <w:color w:val="auto"/>
      <w:sz w:val="24"/>
      <w:szCs w:val="24"/>
      <w:lang w:val="sv-SE" w:eastAsia="sv-SE"/>
    </w:rPr>
  </w:style>
  <w:style w:type="character" w:customStyle="1" w:styleId="ListParagraphChar">
    <w:name w:val="List Paragraph Char"/>
    <w:aliases w:val="Red list paragraph Char"/>
    <w:basedOn w:val="DefaultParagraphFont"/>
    <w:link w:val="ListParagraph"/>
    <w:uiPriority w:val="34"/>
    <w:rsid w:val="00682D61"/>
    <w:rPr>
      <w:rFonts w:ascii="Calibri" w:hAnsi="Calibri"/>
      <w:sz w:val="22"/>
      <w:szCs w:val="22"/>
      <w:lang w:val="en-US" w:eastAsia="en-US"/>
    </w:rPr>
  </w:style>
  <w:style w:type="character" w:customStyle="1" w:styleId="UnresolvedMention2">
    <w:name w:val="Unresolved Mention2"/>
    <w:basedOn w:val="DefaultParagraphFont"/>
    <w:uiPriority w:val="99"/>
    <w:semiHidden/>
    <w:unhideWhenUsed/>
    <w:rsid w:val="008525B4"/>
    <w:rPr>
      <w:color w:val="808080"/>
      <w:shd w:val="clear" w:color="auto" w:fill="E6E6E6"/>
    </w:rPr>
  </w:style>
  <w:style w:type="character" w:customStyle="1" w:styleId="il">
    <w:name w:val="il"/>
    <w:rsid w:val="008A372C"/>
  </w:style>
  <w:style w:type="character" w:customStyle="1" w:styleId="UnresolvedMention3">
    <w:name w:val="Unresolved Mention3"/>
    <w:basedOn w:val="DefaultParagraphFont"/>
    <w:uiPriority w:val="99"/>
    <w:semiHidden/>
    <w:unhideWhenUsed/>
    <w:rsid w:val="00D5312E"/>
    <w:rPr>
      <w:color w:val="808080"/>
      <w:shd w:val="clear" w:color="auto" w:fill="E6E6E6"/>
    </w:rPr>
  </w:style>
  <w:style w:type="paragraph" w:styleId="EndnoteText">
    <w:name w:val="endnote text"/>
    <w:basedOn w:val="Normal"/>
    <w:link w:val="EndnoteTextChar"/>
    <w:uiPriority w:val="99"/>
    <w:semiHidden/>
    <w:unhideWhenUsed/>
    <w:rsid w:val="00062654"/>
  </w:style>
  <w:style w:type="character" w:customStyle="1" w:styleId="EndnoteTextChar">
    <w:name w:val="Endnote Text Char"/>
    <w:basedOn w:val="DefaultParagraphFont"/>
    <w:link w:val="EndnoteText"/>
    <w:uiPriority w:val="99"/>
    <w:semiHidden/>
    <w:rsid w:val="00062654"/>
    <w:rPr>
      <w:lang w:val="en-US" w:eastAsia="en-US"/>
    </w:rPr>
  </w:style>
  <w:style w:type="character" w:styleId="EndnoteReference">
    <w:name w:val="endnote reference"/>
    <w:basedOn w:val="DefaultParagraphFont"/>
    <w:uiPriority w:val="99"/>
    <w:semiHidden/>
    <w:unhideWhenUsed/>
    <w:rsid w:val="00062654"/>
    <w:rPr>
      <w:vertAlign w:val="superscript"/>
    </w:rPr>
  </w:style>
  <w:style w:type="table" w:customStyle="1" w:styleId="TableGridLight1">
    <w:name w:val="Table Grid Light1"/>
    <w:basedOn w:val="TableNormal"/>
    <w:uiPriority w:val="40"/>
    <w:rsid w:val="008D18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1F5D90"/>
    <w:rPr>
      <w:color w:val="808080"/>
      <w:shd w:val="clear" w:color="auto" w:fill="E6E6E6"/>
    </w:rPr>
  </w:style>
  <w:style w:type="character" w:styleId="Emphasis">
    <w:name w:val="Emphasis"/>
    <w:basedOn w:val="DefaultParagraphFont"/>
    <w:uiPriority w:val="20"/>
    <w:qFormat/>
    <w:rsid w:val="00F05A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aliases w:val="h1"/>
    <w:basedOn w:val="Normal"/>
    <w:next w:val="Normal"/>
    <w:link w:val="Heading1Char"/>
    <w:autoRedefine/>
    <w:qFormat/>
    <w:rsid w:val="00350F4C"/>
    <w:pPr>
      <w:keepNext/>
      <w:tabs>
        <w:tab w:val="left" w:pos="540"/>
      </w:tabs>
      <w:jc w:val="both"/>
      <w:outlineLvl w:val="0"/>
    </w:pPr>
    <w:rPr>
      <w:rFonts w:ascii="Verdana" w:hAnsi="Verdana"/>
      <w:b/>
      <w:bCs/>
      <w:kern w:val="32"/>
      <w:sz w:val="18"/>
      <w:szCs w:val="32"/>
    </w:rPr>
  </w:style>
  <w:style w:type="paragraph" w:styleId="Heading2">
    <w:name w:val="heading 2"/>
    <w:aliases w:val="h2"/>
    <w:basedOn w:val="Normal"/>
    <w:next w:val="Normal"/>
    <w:link w:val="Heading2Char"/>
    <w:autoRedefine/>
    <w:qFormat/>
    <w:rsid w:val="006058FB"/>
    <w:pPr>
      <w:keepNext/>
      <w:jc w:val="both"/>
      <w:outlineLvl w:val="1"/>
    </w:pPr>
    <w:rPr>
      <w:rFonts w:ascii="Verdana" w:hAnsi="Verdana"/>
      <w:b/>
      <w:bCs/>
      <w:iCs/>
      <w:sz w:val="16"/>
      <w:szCs w:val="16"/>
      <w:lang w:val="en-GB"/>
    </w:rPr>
  </w:style>
  <w:style w:type="paragraph" w:styleId="Heading3">
    <w:name w:val="heading 3"/>
    <w:basedOn w:val="Normal"/>
    <w:next w:val="Normal"/>
    <w:link w:val="Heading3Char"/>
    <w:autoRedefine/>
    <w:qFormat/>
    <w:rsid w:val="003D6F37"/>
    <w:pPr>
      <w:keepNext/>
      <w:tabs>
        <w:tab w:val="left" w:pos="720"/>
      </w:tabs>
      <w:jc w:val="both"/>
      <w:outlineLvl w:val="2"/>
    </w:pPr>
    <w:rPr>
      <w:rFonts w:ascii="Verdana" w:hAnsi="Verdana"/>
      <w:b/>
      <w:bCs/>
      <w:color w:val="000000"/>
      <w:sz w:val="16"/>
      <w:szCs w:val="16"/>
    </w:rPr>
  </w:style>
  <w:style w:type="paragraph" w:styleId="Heading4">
    <w:name w:val="heading 4"/>
    <w:basedOn w:val="Normal"/>
    <w:next w:val="Normal"/>
    <w:link w:val="Heading4Char"/>
    <w:autoRedefine/>
    <w:qFormat/>
    <w:rsid w:val="0029266B"/>
    <w:pPr>
      <w:keepNext/>
      <w:tabs>
        <w:tab w:val="num" w:pos="360"/>
        <w:tab w:val="left" w:pos="3456"/>
        <w:tab w:val="left" w:pos="3600"/>
      </w:tabs>
      <w:spacing w:after="120"/>
      <w:jc w:val="both"/>
      <w:outlineLvl w:val="3"/>
    </w:pPr>
    <w:rPr>
      <w:rFonts w:ascii="Verdana" w:hAnsi="Verdana"/>
      <w:b/>
      <w:sz w:val="16"/>
      <w:szCs w:val="16"/>
      <w:lang w:val="lt-LT"/>
    </w:rPr>
  </w:style>
  <w:style w:type="paragraph" w:styleId="Heading5">
    <w:name w:val="heading 5"/>
    <w:basedOn w:val="Normal"/>
    <w:next w:val="Normal"/>
    <w:link w:val="Heading5Char"/>
    <w:qFormat/>
    <w:rsid w:val="0029266B"/>
    <w:pPr>
      <w:tabs>
        <w:tab w:val="num" w:pos="360"/>
      </w:tabs>
      <w:spacing w:before="240" w:after="60"/>
      <w:jc w:val="both"/>
      <w:outlineLvl w:val="4"/>
    </w:pPr>
    <w:rPr>
      <w:rFonts w:ascii="Verdana" w:hAnsi="Verdana"/>
      <w:b/>
      <w:bCs/>
      <w:i/>
      <w:iCs/>
      <w:sz w:val="26"/>
      <w:szCs w:val="26"/>
      <w:lang w:val="lt-LT"/>
    </w:rPr>
  </w:style>
  <w:style w:type="paragraph" w:styleId="Heading6">
    <w:name w:val="heading 6"/>
    <w:basedOn w:val="Normal"/>
    <w:next w:val="Normal"/>
    <w:link w:val="Heading6Char"/>
    <w:qFormat/>
    <w:rsid w:val="0029266B"/>
    <w:pPr>
      <w:tabs>
        <w:tab w:val="num" w:pos="360"/>
      </w:tabs>
      <w:spacing w:before="240" w:after="60"/>
      <w:jc w:val="both"/>
      <w:outlineLvl w:val="5"/>
    </w:pPr>
    <w:rPr>
      <w:rFonts w:ascii="Verdana" w:hAnsi="Verdana"/>
      <w:b/>
      <w:bCs/>
      <w:sz w:val="22"/>
      <w:szCs w:val="22"/>
      <w:lang w:val="lt-LT"/>
    </w:rPr>
  </w:style>
  <w:style w:type="paragraph" w:styleId="Heading7">
    <w:name w:val="heading 7"/>
    <w:basedOn w:val="Normal"/>
    <w:next w:val="Normal"/>
    <w:link w:val="Heading7Char"/>
    <w:qFormat/>
    <w:rsid w:val="0029266B"/>
    <w:pPr>
      <w:tabs>
        <w:tab w:val="num" w:pos="360"/>
      </w:tabs>
      <w:spacing w:before="240" w:after="60"/>
      <w:jc w:val="both"/>
      <w:outlineLvl w:val="6"/>
    </w:pPr>
    <w:rPr>
      <w:rFonts w:ascii="Verdana" w:hAnsi="Verdana"/>
      <w:sz w:val="24"/>
      <w:szCs w:val="24"/>
      <w:lang w:val="lt-LT"/>
    </w:rPr>
  </w:style>
  <w:style w:type="paragraph" w:styleId="Heading8">
    <w:name w:val="heading 8"/>
    <w:basedOn w:val="Normal"/>
    <w:next w:val="Normal"/>
    <w:link w:val="Heading8Char"/>
    <w:qFormat/>
    <w:rsid w:val="0029266B"/>
    <w:pPr>
      <w:tabs>
        <w:tab w:val="num" w:pos="360"/>
      </w:tabs>
      <w:spacing w:before="240" w:after="60"/>
      <w:jc w:val="both"/>
      <w:outlineLvl w:val="7"/>
    </w:pPr>
    <w:rPr>
      <w:rFonts w:ascii="Verdana" w:hAnsi="Verdana"/>
      <w:i/>
      <w:iCs/>
      <w:sz w:val="24"/>
      <w:szCs w:val="24"/>
      <w:lang w:val="lt-LT"/>
    </w:rPr>
  </w:style>
  <w:style w:type="paragraph" w:styleId="Heading9">
    <w:name w:val="heading 9"/>
    <w:basedOn w:val="Normal"/>
    <w:next w:val="Normal"/>
    <w:link w:val="Heading9Char"/>
    <w:qFormat/>
    <w:rsid w:val="0029266B"/>
    <w:pPr>
      <w:tabs>
        <w:tab w:val="num" w:pos="360"/>
      </w:tabs>
      <w:spacing w:before="240" w:after="60"/>
      <w:jc w:val="both"/>
      <w:outlineLvl w:val="8"/>
    </w:pPr>
    <w:rPr>
      <w:rFonts w:ascii="Arial" w:hAnsi="Arial"/>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50F4C"/>
    <w:rPr>
      <w:rFonts w:ascii="Verdana" w:hAnsi="Verdana"/>
      <w:b/>
      <w:bCs/>
      <w:kern w:val="32"/>
      <w:sz w:val="18"/>
      <w:szCs w:val="32"/>
      <w:lang w:val="en-US" w:eastAsia="en-US"/>
    </w:rPr>
  </w:style>
  <w:style w:type="character" w:customStyle="1" w:styleId="Heading2Char">
    <w:name w:val="Heading 2 Char"/>
    <w:aliases w:val="h2 Char"/>
    <w:link w:val="Heading2"/>
    <w:rsid w:val="006058FB"/>
    <w:rPr>
      <w:rFonts w:ascii="Verdana" w:hAnsi="Verdana"/>
      <w:b/>
      <w:bCs/>
      <w:iCs/>
      <w:sz w:val="16"/>
      <w:szCs w:val="16"/>
      <w:lang w:eastAsia="en-US"/>
    </w:rPr>
  </w:style>
  <w:style w:type="character" w:customStyle="1" w:styleId="Heading3Char">
    <w:name w:val="Heading 3 Char"/>
    <w:link w:val="Heading3"/>
    <w:locked/>
    <w:rsid w:val="003D6F37"/>
    <w:rPr>
      <w:rFonts w:ascii="Verdana" w:hAnsi="Verdana"/>
      <w:b/>
      <w:bCs/>
      <w:color w:val="000000"/>
      <w:sz w:val="16"/>
      <w:szCs w:val="16"/>
      <w:lang w:val="en-US" w:eastAsia="en-US"/>
    </w:rPr>
  </w:style>
  <w:style w:type="character" w:customStyle="1" w:styleId="Heading4Char">
    <w:name w:val="Heading 4 Char"/>
    <w:link w:val="Heading4"/>
    <w:semiHidden/>
    <w:rsid w:val="0029266B"/>
    <w:rPr>
      <w:rFonts w:ascii="Verdana" w:hAnsi="Verdana"/>
      <w:b/>
      <w:sz w:val="16"/>
      <w:szCs w:val="16"/>
      <w:lang w:val="lt-LT"/>
    </w:rPr>
  </w:style>
  <w:style w:type="character" w:customStyle="1" w:styleId="Heading5Char">
    <w:name w:val="Heading 5 Char"/>
    <w:link w:val="Heading5"/>
    <w:semiHidden/>
    <w:rsid w:val="0029266B"/>
    <w:rPr>
      <w:rFonts w:ascii="Verdana" w:hAnsi="Verdana"/>
      <w:b/>
      <w:bCs/>
      <w:i/>
      <w:iCs/>
      <w:sz w:val="26"/>
      <w:szCs w:val="26"/>
      <w:lang w:val="lt-LT"/>
    </w:rPr>
  </w:style>
  <w:style w:type="character" w:customStyle="1" w:styleId="Heading7Char">
    <w:name w:val="Heading 7 Char"/>
    <w:link w:val="Heading7"/>
    <w:semiHidden/>
    <w:rsid w:val="0029266B"/>
    <w:rPr>
      <w:rFonts w:ascii="Verdana" w:hAnsi="Verdana"/>
      <w:sz w:val="24"/>
      <w:szCs w:val="24"/>
      <w:lang w:val="lt-LT"/>
    </w:rPr>
  </w:style>
  <w:style w:type="table" w:styleId="TableGrid">
    <w:name w:val="Table Grid"/>
    <w:basedOn w:val="TableNormal"/>
    <w:uiPriority w:val="39"/>
    <w:rsid w:val="001C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743"/>
    <w:pPr>
      <w:tabs>
        <w:tab w:val="center" w:pos="4819"/>
        <w:tab w:val="right" w:pos="9638"/>
      </w:tabs>
    </w:pPr>
    <w:rPr>
      <w:sz w:val="24"/>
      <w:szCs w:val="24"/>
    </w:rPr>
  </w:style>
  <w:style w:type="character" w:customStyle="1" w:styleId="HeaderChar">
    <w:name w:val="Header Char"/>
    <w:link w:val="Header"/>
    <w:uiPriority w:val="99"/>
    <w:rsid w:val="001C0743"/>
    <w:rPr>
      <w:sz w:val="24"/>
      <w:szCs w:val="24"/>
    </w:rPr>
  </w:style>
  <w:style w:type="paragraph" w:styleId="Footer">
    <w:name w:val="footer"/>
    <w:basedOn w:val="Normal"/>
    <w:link w:val="FooterChar"/>
    <w:unhideWhenUsed/>
    <w:rsid w:val="001C0743"/>
    <w:pPr>
      <w:tabs>
        <w:tab w:val="center" w:pos="4819"/>
        <w:tab w:val="right" w:pos="9638"/>
      </w:tabs>
    </w:pPr>
    <w:rPr>
      <w:sz w:val="24"/>
      <w:szCs w:val="24"/>
    </w:rPr>
  </w:style>
  <w:style w:type="character" w:customStyle="1" w:styleId="FooterChar">
    <w:name w:val="Footer Char"/>
    <w:link w:val="Footer"/>
    <w:rsid w:val="001C0743"/>
    <w:rPr>
      <w:sz w:val="24"/>
      <w:szCs w:val="24"/>
    </w:rPr>
  </w:style>
  <w:style w:type="paragraph" w:customStyle="1" w:styleId="StyleHeading3Before0ptAfter0pt">
    <w:name w:val="Style Heading 3 + Before:  0 pt After:  0 pt"/>
    <w:basedOn w:val="Heading3"/>
    <w:autoRedefine/>
    <w:rsid w:val="009B0579"/>
    <w:rPr>
      <w:szCs w:val="20"/>
      <w:lang w:val="en-GB"/>
    </w:rPr>
  </w:style>
  <w:style w:type="character" w:styleId="Hyperlink">
    <w:name w:val="Hyperlink"/>
    <w:uiPriority w:val="99"/>
    <w:rsid w:val="00091583"/>
    <w:rPr>
      <w:color w:val="0000FF"/>
      <w:u w:val="single"/>
    </w:rPr>
  </w:style>
  <w:style w:type="paragraph" w:styleId="NoSpacing">
    <w:name w:val="No Spacing"/>
    <w:uiPriority w:val="1"/>
    <w:qFormat/>
    <w:rsid w:val="00091583"/>
    <w:rPr>
      <w:sz w:val="24"/>
      <w:szCs w:val="24"/>
      <w:lang w:eastAsia="en-US"/>
    </w:rPr>
  </w:style>
  <w:style w:type="paragraph" w:styleId="CommentText">
    <w:name w:val="annotation text"/>
    <w:basedOn w:val="Normal"/>
    <w:link w:val="CommentTextChar"/>
    <w:uiPriority w:val="99"/>
    <w:semiHidden/>
    <w:rsid w:val="00091583"/>
    <w:rPr>
      <w:lang w:val="lt-LT" w:eastAsia="lt-LT"/>
    </w:rPr>
  </w:style>
  <w:style w:type="character" w:customStyle="1" w:styleId="CommentTextChar">
    <w:name w:val="Comment Text Char"/>
    <w:link w:val="CommentText"/>
    <w:uiPriority w:val="99"/>
    <w:semiHidden/>
    <w:locked/>
    <w:rsid w:val="00091583"/>
    <w:rPr>
      <w:lang w:val="lt-LT" w:eastAsia="lt-LT" w:bidi="ar-SA"/>
    </w:rPr>
  </w:style>
  <w:style w:type="paragraph" w:customStyle="1" w:styleId="IPObodytext">
    <w:name w:val="IPO_body_text"/>
    <w:basedOn w:val="Normal"/>
    <w:link w:val="IPObodytextChar"/>
    <w:rsid w:val="00091583"/>
    <w:pPr>
      <w:autoSpaceDE w:val="0"/>
      <w:autoSpaceDN w:val="0"/>
      <w:adjustRightInd w:val="0"/>
      <w:spacing w:line="264" w:lineRule="auto"/>
      <w:jc w:val="both"/>
    </w:pPr>
    <w:rPr>
      <w:rFonts w:ascii="Arial" w:hAnsi="Arial"/>
      <w:color w:val="231F20"/>
      <w:sz w:val="17"/>
      <w:szCs w:val="17"/>
      <w:lang w:val="lt-LT" w:eastAsia="lt-LT"/>
    </w:rPr>
  </w:style>
  <w:style w:type="character" w:customStyle="1" w:styleId="IPObodytextChar">
    <w:name w:val="IPO_body_text Char"/>
    <w:link w:val="IPObodytext"/>
    <w:locked/>
    <w:rsid w:val="00091583"/>
    <w:rPr>
      <w:rFonts w:ascii="Arial" w:hAnsi="Arial"/>
      <w:color w:val="231F20"/>
      <w:sz w:val="17"/>
      <w:szCs w:val="17"/>
      <w:lang w:val="lt-LT" w:eastAsia="lt-LT" w:bidi="ar-SA"/>
    </w:rPr>
  </w:style>
  <w:style w:type="paragraph" w:styleId="ListParagraph">
    <w:name w:val="List Paragraph"/>
    <w:aliases w:val="Red list paragraph"/>
    <w:basedOn w:val="Normal"/>
    <w:link w:val="ListParagraphChar"/>
    <w:uiPriority w:val="34"/>
    <w:qFormat/>
    <w:rsid w:val="00091583"/>
    <w:pPr>
      <w:spacing w:after="200" w:line="276" w:lineRule="auto"/>
      <w:ind w:left="720"/>
      <w:contextualSpacing/>
    </w:pPr>
    <w:rPr>
      <w:rFonts w:ascii="Calibri" w:hAnsi="Calibri"/>
      <w:sz w:val="22"/>
      <w:szCs w:val="22"/>
    </w:rPr>
  </w:style>
  <w:style w:type="paragraph" w:styleId="Caption">
    <w:name w:val="caption"/>
    <w:basedOn w:val="Normal"/>
    <w:next w:val="Normal"/>
    <w:qFormat/>
    <w:rsid w:val="00091583"/>
    <w:rPr>
      <w:rFonts w:ascii="Arial" w:hAnsi="Arial"/>
      <w:b/>
      <w:bCs/>
      <w:lang w:val="en-GB"/>
    </w:rPr>
  </w:style>
  <w:style w:type="paragraph" w:customStyle="1" w:styleId="Body1">
    <w:name w:val="Body 1"/>
    <w:basedOn w:val="Normal"/>
    <w:rsid w:val="00091583"/>
    <w:pPr>
      <w:numPr>
        <w:numId w:val="1"/>
      </w:numPr>
      <w:spacing w:after="140" w:line="290" w:lineRule="auto"/>
      <w:jc w:val="both"/>
    </w:pPr>
    <w:rPr>
      <w:rFonts w:ascii="Arial" w:hAnsi="Arial"/>
      <w:kern w:val="20"/>
      <w:lang w:val="en-GB"/>
    </w:rPr>
  </w:style>
  <w:style w:type="character" w:customStyle="1" w:styleId="DeltaViewInsertion">
    <w:name w:val="DeltaView Insertion"/>
    <w:rsid w:val="00091583"/>
    <w:rPr>
      <w:color w:val="0000FF"/>
      <w:u w:val="double"/>
    </w:rPr>
  </w:style>
  <w:style w:type="character" w:customStyle="1" w:styleId="FontStyle169">
    <w:name w:val="Font Style169"/>
    <w:uiPriority w:val="99"/>
    <w:rsid w:val="00091583"/>
    <w:rPr>
      <w:rFonts w:ascii="Times New Roman" w:hAnsi="Times New Roman"/>
      <w:sz w:val="20"/>
    </w:rPr>
  </w:style>
  <w:style w:type="paragraph" w:customStyle="1" w:styleId="Style87">
    <w:name w:val="Style87"/>
    <w:basedOn w:val="Normal"/>
    <w:rsid w:val="00091583"/>
    <w:pPr>
      <w:widowControl w:val="0"/>
      <w:autoSpaceDE w:val="0"/>
      <w:autoSpaceDN w:val="0"/>
      <w:adjustRightInd w:val="0"/>
      <w:spacing w:line="511" w:lineRule="exact"/>
    </w:pPr>
  </w:style>
  <w:style w:type="paragraph" w:customStyle="1" w:styleId="BMBodyText">
    <w:name w:val="B&amp;M Body Text"/>
    <w:basedOn w:val="Normal"/>
    <w:link w:val="BMBodyTextChar"/>
    <w:rsid w:val="00091583"/>
    <w:pPr>
      <w:tabs>
        <w:tab w:val="right" w:pos="9570"/>
      </w:tabs>
      <w:spacing w:before="120" w:after="120"/>
      <w:jc w:val="both"/>
    </w:pPr>
    <w:rPr>
      <w:bCs/>
      <w:noProof/>
      <w:szCs w:val="24"/>
    </w:rPr>
  </w:style>
  <w:style w:type="character" w:customStyle="1" w:styleId="BMBodyTextChar">
    <w:name w:val="B&amp;M Body Text Char"/>
    <w:link w:val="BMBodyText"/>
    <w:locked/>
    <w:rsid w:val="00091583"/>
    <w:rPr>
      <w:bCs/>
      <w:noProof/>
      <w:szCs w:val="24"/>
      <w:lang w:val="en-US" w:eastAsia="en-US" w:bidi="ar-SA"/>
    </w:rPr>
  </w:style>
  <w:style w:type="paragraph" w:customStyle="1" w:styleId="BMHEADING3">
    <w:name w:val="B&amp;M HEADING 3"/>
    <w:basedOn w:val="Normal"/>
    <w:link w:val="BMHEADING3Char"/>
    <w:rsid w:val="00091583"/>
    <w:pPr>
      <w:keepNext/>
      <w:autoSpaceDE w:val="0"/>
      <w:autoSpaceDN w:val="0"/>
      <w:adjustRightInd w:val="0"/>
      <w:spacing w:before="120" w:after="120"/>
      <w:jc w:val="both"/>
    </w:pPr>
    <w:rPr>
      <w:rFonts w:ascii="Times New Roman Bold" w:hAnsi="Times New Roman Bold"/>
      <w:b/>
      <w:bCs/>
      <w:i/>
      <w:lang w:eastAsia="pl-PL"/>
    </w:rPr>
  </w:style>
  <w:style w:type="character" w:customStyle="1" w:styleId="BMHEADING3Char">
    <w:name w:val="B&amp;M HEADING 3 Char"/>
    <w:link w:val="BMHEADING3"/>
    <w:locked/>
    <w:rsid w:val="00091583"/>
    <w:rPr>
      <w:rFonts w:ascii="Times New Roman Bold" w:hAnsi="Times New Roman Bold"/>
      <w:b/>
      <w:bCs/>
      <w:i/>
      <w:lang w:val="en-US" w:eastAsia="pl-PL" w:bidi="ar-SA"/>
    </w:rPr>
  </w:style>
  <w:style w:type="character" w:customStyle="1" w:styleId="Before6ptBoldBoldBoldBoldBoldBoCharChar1">
    <w:name w:val="Before:  6 pt + Bold + Bold + Bold + Bold + Bold + Bo... Char Char1"/>
    <w:aliases w:val="Heading 3 + Left:  0 cm2"/>
    <w:locked/>
    <w:rsid w:val="00091583"/>
    <w:rPr>
      <w:rFonts w:ascii="Arial" w:hAnsi="Arial" w:cs="Arial"/>
      <w:sz w:val="24"/>
      <w:szCs w:val="24"/>
      <w:lang w:val="lt-LT"/>
    </w:rPr>
  </w:style>
  <w:style w:type="paragraph" w:styleId="TOC1">
    <w:name w:val="toc 1"/>
    <w:basedOn w:val="Normal"/>
    <w:next w:val="Normal"/>
    <w:autoRedefine/>
    <w:uiPriority w:val="39"/>
    <w:rsid w:val="00972AA5"/>
    <w:pPr>
      <w:tabs>
        <w:tab w:val="left" w:pos="480"/>
        <w:tab w:val="right" w:leader="dot" w:pos="9639"/>
      </w:tabs>
    </w:pPr>
    <w:rPr>
      <w:rFonts w:ascii="Verdana" w:hAnsi="Verdana"/>
      <w:caps/>
      <w:sz w:val="16"/>
    </w:rPr>
  </w:style>
  <w:style w:type="paragraph" w:styleId="TOC2">
    <w:name w:val="toc 2"/>
    <w:basedOn w:val="Normal"/>
    <w:next w:val="Normal"/>
    <w:autoRedefine/>
    <w:uiPriority w:val="39"/>
    <w:rsid w:val="00972AA5"/>
    <w:pPr>
      <w:tabs>
        <w:tab w:val="left" w:pos="960"/>
        <w:tab w:val="right" w:leader="dot" w:pos="9628"/>
      </w:tabs>
      <w:ind w:left="240"/>
      <w:jc w:val="both"/>
    </w:pPr>
    <w:rPr>
      <w:rFonts w:ascii="Verdana" w:hAnsi="Verdana"/>
      <w:noProof/>
      <w:sz w:val="16"/>
      <w:lang w:val="en-GB"/>
    </w:rPr>
  </w:style>
  <w:style w:type="paragraph" w:styleId="TOC3">
    <w:name w:val="toc 3"/>
    <w:basedOn w:val="Normal"/>
    <w:next w:val="Normal"/>
    <w:autoRedefine/>
    <w:uiPriority w:val="39"/>
    <w:rsid w:val="006C2D1A"/>
    <w:pPr>
      <w:tabs>
        <w:tab w:val="left" w:pos="1276"/>
        <w:tab w:val="right" w:leader="dot" w:pos="9628"/>
      </w:tabs>
      <w:ind w:left="284"/>
      <w:jc w:val="both"/>
    </w:pPr>
    <w:rPr>
      <w:rFonts w:ascii="Verdana" w:hAnsi="Verdana" w:cs="Arial"/>
      <w:noProof/>
      <w:sz w:val="16"/>
      <w:lang w:val="en-GB"/>
    </w:rPr>
  </w:style>
  <w:style w:type="paragraph" w:customStyle="1" w:styleId="ColorfulList-Accent11">
    <w:name w:val="Colorful List - Accent 11"/>
    <w:basedOn w:val="Normal"/>
    <w:qFormat/>
    <w:rsid w:val="00E06627"/>
    <w:pPr>
      <w:spacing w:after="200" w:line="276" w:lineRule="auto"/>
      <w:ind w:left="720"/>
      <w:contextualSpacing/>
    </w:pPr>
    <w:rPr>
      <w:rFonts w:ascii="Calibri" w:eastAsia="Calibri" w:hAnsi="Calibri"/>
      <w:sz w:val="22"/>
      <w:szCs w:val="22"/>
    </w:rPr>
  </w:style>
  <w:style w:type="character" w:customStyle="1" w:styleId="FontStyle18">
    <w:name w:val="Font Style18"/>
    <w:rsid w:val="00353222"/>
    <w:rPr>
      <w:rFonts w:ascii="Times New Roman" w:hAnsi="Times New Roman" w:cs="Times New Roman"/>
      <w:sz w:val="22"/>
      <w:szCs w:val="22"/>
    </w:rPr>
  </w:style>
  <w:style w:type="paragraph" w:customStyle="1" w:styleId="CharChar11">
    <w:name w:val="Char Char11"/>
    <w:basedOn w:val="Normal"/>
    <w:uiPriority w:val="99"/>
    <w:rsid w:val="00962B40"/>
    <w:pPr>
      <w:spacing w:after="120" w:line="360" w:lineRule="auto"/>
    </w:pPr>
    <w:rPr>
      <w:rFonts w:ascii="Verdana" w:eastAsia="Batang" w:hAnsi="Verdana"/>
      <w:lang w:val="pl-PL" w:eastAsia="pl-PL"/>
    </w:rPr>
  </w:style>
  <w:style w:type="paragraph" w:customStyle="1" w:styleId="CharChar6">
    <w:name w:val="Char Char6"/>
    <w:basedOn w:val="Normal"/>
    <w:uiPriority w:val="99"/>
    <w:rsid w:val="00AD70AF"/>
    <w:pPr>
      <w:spacing w:after="120" w:line="360" w:lineRule="auto"/>
    </w:pPr>
    <w:rPr>
      <w:rFonts w:ascii="Verdana" w:eastAsia="Batang" w:hAnsi="Verdana"/>
      <w:lang w:val="pl-PL" w:eastAsia="pl-PL"/>
    </w:rPr>
  </w:style>
  <w:style w:type="paragraph" w:customStyle="1" w:styleId="bod1g">
    <w:name w:val="bod 1 g"/>
    <w:basedOn w:val="Normal"/>
    <w:rsid w:val="007B2E3C"/>
    <w:pPr>
      <w:tabs>
        <w:tab w:val="num" w:pos="2041"/>
      </w:tabs>
      <w:overflowPunct w:val="0"/>
      <w:autoSpaceDE w:val="0"/>
      <w:autoSpaceDN w:val="0"/>
      <w:adjustRightInd w:val="0"/>
      <w:spacing w:after="140" w:line="290" w:lineRule="auto"/>
      <w:ind w:left="2041" w:hanging="680"/>
      <w:jc w:val="both"/>
      <w:textAlignment w:val="baseline"/>
    </w:pPr>
    <w:rPr>
      <w:rFonts w:ascii="Century Gothic" w:eastAsia="Batang" w:hAnsi="Century Gothic"/>
      <w:kern w:val="20"/>
      <w:sz w:val="18"/>
      <w:lang w:val="en-GB"/>
    </w:rPr>
  </w:style>
  <w:style w:type="character" w:customStyle="1" w:styleId="apple-style-span">
    <w:name w:val="apple-style-span"/>
    <w:basedOn w:val="DefaultParagraphFont"/>
    <w:rsid w:val="004342B5"/>
  </w:style>
  <w:style w:type="paragraph" w:styleId="FootnoteText">
    <w:name w:val="footnote text"/>
    <w:basedOn w:val="Normal"/>
    <w:link w:val="FootnoteTextChar"/>
    <w:uiPriority w:val="99"/>
    <w:semiHidden/>
    <w:unhideWhenUsed/>
    <w:rsid w:val="00E22C2A"/>
  </w:style>
  <w:style w:type="character" w:customStyle="1" w:styleId="FootnoteTextChar">
    <w:name w:val="Footnote Text Char"/>
    <w:basedOn w:val="DefaultParagraphFont"/>
    <w:link w:val="FootnoteText"/>
    <w:uiPriority w:val="99"/>
    <w:semiHidden/>
    <w:rsid w:val="00E22C2A"/>
  </w:style>
  <w:style w:type="character" w:styleId="FootnoteReference">
    <w:name w:val="footnote reference"/>
    <w:uiPriority w:val="99"/>
    <w:semiHidden/>
    <w:unhideWhenUsed/>
    <w:rsid w:val="00E22C2A"/>
    <w:rPr>
      <w:vertAlign w:val="superscript"/>
    </w:rPr>
  </w:style>
  <w:style w:type="character" w:customStyle="1" w:styleId="BodyText2Char">
    <w:name w:val="Body Text 2 Char"/>
    <w:link w:val="BodyText2"/>
    <w:semiHidden/>
    <w:rsid w:val="000F7EB0"/>
    <w:rPr>
      <w:rFonts w:ascii="Times" w:hAnsi="Times"/>
      <w:sz w:val="24"/>
      <w:lang w:val="en-GB"/>
    </w:rPr>
  </w:style>
  <w:style w:type="paragraph" w:styleId="BodyText2">
    <w:name w:val="Body Text 2"/>
    <w:basedOn w:val="Normal"/>
    <w:link w:val="BodyText2Char"/>
    <w:semiHidden/>
    <w:unhideWhenUsed/>
    <w:rsid w:val="000F7EB0"/>
    <w:pPr>
      <w:spacing w:after="120" w:line="480" w:lineRule="auto"/>
    </w:pPr>
    <w:rPr>
      <w:rFonts w:ascii="Times" w:hAnsi="Times"/>
      <w:sz w:val="24"/>
      <w:lang w:val="en-GB"/>
    </w:rPr>
  </w:style>
  <w:style w:type="character" w:customStyle="1" w:styleId="BodyText2Char1">
    <w:name w:val="Body Text 2 Char1"/>
    <w:uiPriority w:val="99"/>
    <w:semiHidden/>
    <w:rsid w:val="000F7EB0"/>
    <w:rPr>
      <w:sz w:val="24"/>
      <w:szCs w:val="24"/>
    </w:rPr>
  </w:style>
  <w:style w:type="paragraph" w:customStyle="1" w:styleId="prospectusbody">
    <w:name w:val="prospectus body"/>
    <w:basedOn w:val="Normal"/>
    <w:link w:val="prospectusbodyChar"/>
    <w:rsid w:val="001F6FD8"/>
    <w:pPr>
      <w:spacing w:before="120" w:after="120"/>
      <w:jc w:val="both"/>
    </w:pPr>
    <w:rPr>
      <w:rFonts w:ascii="Arial" w:eastAsia="Arial Unicode MS" w:hAnsi="Arial"/>
      <w:sz w:val="18"/>
      <w:szCs w:val="24"/>
      <w:lang w:eastAsia="ko-KR"/>
    </w:rPr>
  </w:style>
  <w:style w:type="character" w:customStyle="1" w:styleId="prospectusbodyChar">
    <w:name w:val="prospectus body Char"/>
    <w:link w:val="prospectusbody"/>
    <w:rsid w:val="001F6FD8"/>
    <w:rPr>
      <w:rFonts w:ascii="Arial" w:eastAsia="Arial Unicode MS" w:hAnsi="Arial"/>
      <w:sz w:val="18"/>
      <w:szCs w:val="24"/>
      <w:lang w:val="en-US" w:eastAsia="ko-KR"/>
    </w:rPr>
  </w:style>
  <w:style w:type="paragraph" w:customStyle="1" w:styleId="BMHEADING2">
    <w:name w:val="B&amp;M HEADING 2"/>
    <w:basedOn w:val="Normal"/>
    <w:next w:val="BMBodyText"/>
    <w:link w:val="BMHEADING2Char"/>
    <w:rsid w:val="00136280"/>
    <w:pPr>
      <w:keepNext/>
      <w:spacing w:before="120" w:after="120"/>
      <w:jc w:val="both"/>
      <w:outlineLvl w:val="1"/>
    </w:pPr>
    <w:rPr>
      <w:b/>
      <w:lang w:val="en-GB"/>
    </w:rPr>
  </w:style>
  <w:style w:type="character" w:customStyle="1" w:styleId="BMHEADING2Char">
    <w:name w:val="B&amp;M HEADING 2 Char"/>
    <w:link w:val="BMHEADING2"/>
    <w:rsid w:val="00136280"/>
    <w:rPr>
      <w:b/>
      <w:lang w:val="en-GB" w:eastAsia="en-US"/>
    </w:rPr>
  </w:style>
  <w:style w:type="character" w:styleId="PageNumber">
    <w:name w:val="page number"/>
    <w:basedOn w:val="DefaultParagraphFont"/>
    <w:rsid w:val="000A151F"/>
  </w:style>
  <w:style w:type="paragraph" w:styleId="BalloonText">
    <w:name w:val="Balloon Text"/>
    <w:basedOn w:val="Normal"/>
    <w:link w:val="BalloonTextChar"/>
    <w:uiPriority w:val="99"/>
    <w:semiHidden/>
    <w:unhideWhenUsed/>
    <w:rsid w:val="00A546E8"/>
    <w:rPr>
      <w:rFonts w:ascii="Tahoma" w:hAnsi="Tahoma"/>
      <w:sz w:val="16"/>
      <w:szCs w:val="16"/>
    </w:rPr>
  </w:style>
  <w:style w:type="character" w:customStyle="1" w:styleId="BalloonTextChar">
    <w:name w:val="Balloon Text Char"/>
    <w:link w:val="BalloonText"/>
    <w:uiPriority w:val="99"/>
    <w:semiHidden/>
    <w:rsid w:val="00A546E8"/>
    <w:rPr>
      <w:rFonts w:ascii="Tahoma" w:hAnsi="Tahoma" w:cs="Tahoma"/>
      <w:sz w:val="16"/>
      <w:szCs w:val="16"/>
    </w:rPr>
  </w:style>
  <w:style w:type="paragraph" w:styleId="BodyText">
    <w:name w:val="Body Text"/>
    <w:aliases w:val="bt"/>
    <w:basedOn w:val="Normal"/>
    <w:link w:val="BodyTextChar"/>
    <w:unhideWhenUsed/>
    <w:rsid w:val="00A546E8"/>
    <w:pPr>
      <w:spacing w:after="120"/>
    </w:pPr>
    <w:rPr>
      <w:rFonts w:ascii="Arial" w:hAnsi="Arial"/>
      <w:sz w:val="18"/>
      <w:szCs w:val="24"/>
      <w:lang w:val="en-GB"/>
    </w:rPr>
  </w:style>
  <w:style w:type="character" w:customStyle="1" w:styleId="BodyTextChar">
    <w:name w:val="Body Text Char"/>
    <w:aliases w:val="bt Char"/>
    <w:link w:val="BodyText"/>
    <w:uiPriority w:val="99"/>
    <w:rsid w:val="00A546E8"/>
    <w:rPr>
      <w:rFonts w:ascii="Arial" w:hAnsi="Arial"/>
      <w:sz w:val="18"/>
      <w:szCs w:val="24"/>
      <w:lang w:val="en-GB" w:eastAsia="en-US"/>
    </w:rPr>
  </w:style>
  <w:style w:type="character" w:styleId="CommentReference">
    <w:name w:val="annotation reference"/>
    <w:uiPriority w:val="99"/>
    <w:semiHidden/>
    <w:unhideWhenUsed/>
    <w:rsid w:val="0039619F"/>
    <w:rPr>
      <w:sz w:val="16"/>
      <w:szCs w:val="16"/>
    </w:rPr>
  </w:style>
  <w:style w:type="paragraph" w:styleId="CommentSubject">
    <w:name w:val="annotation subject"/>
    <w:basedOn w:val="CommentText"/>
    <w:next w:val="CommentText"/>
    <w:link w:val="CommentSubjectChar"/>
    <w:semiHidden/>
    <w:unhideWhenUsed/>
    <w:rsid w:val="0039619F"/>
    <w:rPr>
      <w:b/>
      <w:bCs/>
    </w:rPr>
  </w:style>
  <w:style w:type="character" w:customStyle="1" w:styleId="CommentSubjectChar">
    <w:name w:val="Comment Subject Char"/>
    <w:link w:val="CommentSubject"/>
    <w:semiHidden/>
    <w:rsid w:val="0039619F"/>
    <w:rPr>
      <w:b/>
      <w:bCs/>
      <w:lang w:val="lt-LT" w:eastAsia="lt-LT" w:bidi="ar-SA"/>
    </w:rPr>
  </w:style>
  <w:style w:type="paragraph" w:styleId="BlockText">
    <w:name w:val="Block Text"/>
    <w:aliases w:val=" Char Char Char1, Char Char Char Char, Char Char Char,Block Text Char1,Block Text Char Char, Char Char Char1 Char, Char Char Char Char Char, Char Char Char Char1, Char Char Char2"/>
    <w:basedOn w:val="Normal"/>
    <w:rsid w:val="00063978"/>
    <w:pPr>
      <w:spacing w:after="120"/>
      <w:ind w:left="1440" w:right="1440"/>
    </w:pPr>
    <w:rPr>
      <w:rFonts w:ascii="Calibri" w:hAnsi="Calibri"/>
      <w:sz w:val="18"/>
      <w:szCs w:val="18"/>
      <w:lang w:val="en-GB" w:eastAsia="et-EE"/>
    </w:rPr>
  </w:style>
  <w:style w:type="character" w:customStyle="1" w:styleId="Heading6Char">
    <w:name w:val="Heading 6 Char"/>
    <w:link w:val="Heading6"/>
    <w:semiHidden/>
    <w:rsid w:val="0029266B"/>
    <w:rPr>
      <w:rFonts w:ascii="Verdana" w:hAnsi="Verdana"/>
      <w:b/>
      <w:bCs/>
      <w:sz w:val="22"/>
      <w:szCs w:val="22"/>
      <w:lang w:val="lt-LT"/>
    </w:rPr>
  </w:style>
  <w:style w:type="character" w:customStyle="1" w:styleId="Heading8Char">
    <w:name w:val="Heading 8 Char"/>
    <w:link w:val="Heading8"/>
    <w:semiHidden/>
    <w:rsid w:val="0029266B"/>
    <w:rPr>
      <w:rFonts w:ascii="Verdana" w:hAnsi="Verdana"/>
      <w:i/>
      <w:iCs/>
      <w:sz w:val="24"/>
      <w:szCs w:val="24"/>
      <w:lang w:val="lt-LT"/>
    </w:rPr>
  </w:style>
  <w:style w:type="character" w:customStyle="1" w:styleId="Heading9Char">
    <w:name w:val="Heading 9 Char"/>
    <w:link w:val="Heading9"/>
    <w:semiHidden/>
    <w:rsid w:val="0029266B"/>
    <w:rPr>
      <w:rFonts w:ascii="Arial" w:hAnsi="Arial"/>
      <w:sz w:val="22"/>
      <w:szCs w:val="22"/>
      <w:lang w:val="lt-LT"/>
    </w:rPr>
  </w:style>
  <w:style w:type="character" w:customStyle="1" w:styleId="Heading1Char1">
    <w:name w:val="Heading 1 Char1"/>
    <w:aliases w:val="h1 Char1"/>
    <w:rsid w:val="0029266B"/>
    <w:rPr>
      <w:rFonts w:ascii="Cambria" w:eastAsia="Times New Roman" w:hAnsi="Cambria" w:cs="Times New Roman"/>
      <w:b/>
      <w:bCs/>
      <w:color w:val="365F91"/>
      <w:sz w:val="28"/>
      <w:szCs w:val="28"/>
      <w:lang w:eastAsia="en-US"/>
    </w:rPr>
  </w:style>
  <w:style w:type="character" w:customStyle="1" w:styleId="HTMLPreformattedChar">
    <w:name w:val="HTML Preformatted Char"/>
    <w:link w:val="HTMLPreformatted"/>
    <w:uiPriority w:val="99"/>
    <w:semiHidden/>
    <w:rsid w:val="0029266B"/>
    <w:rPr>
      <w:rFonts w:ascii="Courier New" w:hAnsi="Courier New"/>
      <w:sz w:val="16"/>
      <w:lang w:val="lt-LT"/>
    </w:rPr>
  </w:style>
  <w:style w:type="paragraph" w:styleId="HTMLPreformatted">
    <w:name w:val="HTML Preformatted"/>
    <w:basedOn w:val="Normal"/>
    <w:link w:val="HTMLPreformattedChar"/>
    <w:uiPriority w:val="99"/>
    <w:semiHidden/>
    <w:unhideWhenUsed/>
    <w:rsid w:val="0029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6"/>
      <w:lang w:val="lt-LT"/>
    </w:rPr>
  </w:style>
  <w:style w:type="paragraph" w:styleId="Index1">
    <w:name w:val="index 1"/>
    <w:basedOn w:val="Normal"/>
    <w:next w:val="Normal"/>
    <w:autoRedefine/>
    <w:semiHidden/>
    <w:unhideWhenUsed/>
    <w:rsid w:val="0029266B"/>
    <w:pPr>
      <w:keepNext/>
      <w:spacing w:before="260" w:line="280" w:lineRule="exact"/>
      <w:ind w:right="851"/>
    </w:pPr>
    <w:rPr>
      <w:rFonts w:ascii="Verdana" w:hAnsi="Verdana"/>
      <w:b/>
      <w:sz w:val="24"/>
    </w:rPr>
  </w:style>
  <w:style w:type="paragraph" w:styleId="ListBullet">
    <w:name w:val="List Bullet"/>
    <w:basedOn w:val="BodyText"/>
    <w:semiHidden/>
    <w:unhideWhenUsed/>
    <w:rsid w:val="0029266B"/>
    <w:pPr>
      <w:tabs>
        <w:tab w:val="num" w:pos="340"/>
      </w:tabs>
      <w:spacing w:before="130" w:after="130"/>
      <w:ind w:left="340" w:hanging="340"/>
      <w:jc w:val="both"/>
    </w:pPr>
    <w:rPr>
      <w:rFonts w:ascii="Times New Roman" w:hAnsi="Times New Roman"/>
      <w:sz w:val="22"/>
      <w:lang w:val="en-US"/>
    </w:rPr>
  </w:style>
  <w:style w:type="paragraph" w:styleId="ListBullet2">
    <w:name w:val="List Bullet 2"/>
    <w:basedOn w:val="ListBullet"/>
    <w:semiHidden/>
    <w:unhideWhenUsed/>
    <w:rsid w:val="0029266B"/>
    <w:pPr>
      <w:tabs>
        <w:tab w:val="clear" w:pos="340"/>
        <w:tab w:val="num" w:pos="680"/>
      </w:tabs>
      <w:ind w:left="680"/>
    </w:pPr>
  </w:style>
  <w:style w:type="paragraph" w:styleId="ListBullet3">
    <w:name w:val="List Bullet 3"/>
    <w:basedOn w:val="ListBullet"/>
    <w:semiHidden/>
    <w:unhideWhenUsed/>
    <w:rsid w:val="0029266B"/>
    <w:pPr>
      <w:jc w:val="left"/>
    </w:pPr>
    <w:rPr>
      <w:sz w:val="18"/>
    </w:rPr>
  </w:style>
  <w:style w:type="paragraph" w:styleId="ListBullet4">
    <w:name w:val="List Bullet 4"/>
    <w:basedOn w:val="ListBullet2"/>
    <w:semiHidden/>
    <w:unhideWhenUsed/>
    <w:rsid w:val="0029266B"/>
    <w:pPr>
      <w:tabs>
        <w:tab w:val="clear" w:pos="680"/>
        <w:tab w:val="num" w:pos="720"/>
      </w:tabs>
      <w:ind w:left="720" w:hanging="360"/>
      <w:jc w:val="left"/>
    </w:pPr>
    <w:rPr>
      <w:sz w:val="18"/>
    </w:rPr>
  </w:style>
  <w:style w:type="paragraph" w:styleId="Signature">
    <w:name w:val="Signature"/>
    <w:basedOn w:val="Normal"/>
    <w:link w:val="SignatureChar"/>
    <w:semiHidden/>
    <w:unhideWhenUsed/>
    <w:rsid w:val="0029266B"/>
    <w:rPr>
      <w:rFonts w:ascii="Verdana" w:hAnsi="Verdana"/>
      <w:sz w:val="22"/>
    </w:rPr>
  </w:style>
  <w:style w:type="character" w:customStyle="1" w:styleId="SignatureChar">
    <w:name w:val="Signature Char"/>
    <w:link w:val="Signature"/>
    <w:semiHidden/>
    <w:rsid w:val="0029266B"/>
    <w:rPr>
      <w:rFonts w:ascii="Verdana" w:hAnsi="Verdana"/>
      <w:sz w:val="22"/>
    </w:rPr>
  </w:style>
  <w:style w:type="character" w:customStyle="1" w:styleId="BodyTextIndentChar">
    <w:name w:val="Body Text Indent Char"/>
    <w:link w:val="BodyTextIndent"/>
    <w:semiHidden/>
    <w:rsid w:val="0029266B"/>
    <w:rPr>
      <w:rFonts w:ascii="Verdana" w:hAnsi="Verdana"/>
      <w:color w:val="FF0000"/>
      <w:szCs w:val="24"/>
      <w:lang w:val="lt-LT"/>
    </w:rPr>
  </w:style>
  <w:style w:type="paragraph" w:styleId="BodyTextIndent">
    <w:name w:val="Body Text Indent"/>
    <w:basedOn w:val="Normal"/>
    <w:link w:val="BodyTextIndentChar"/>
    <w:semiHidden/>
    <w:unhideWhenUsed/>
    <w:rsid w:val="0029266B"/>
    <w:pPr>
      <w:spacing w:before="120" w:after="120"/>
      <w:ind w:left="108"/>
      <w:jc w:val="both"/>
    </w:pPr>
    <w:rPr>
      <w:rFonts w:ascii="Verdana" w:hAnsi="Verdana"/>
      <w:color w:val="FF0000"/>
      <w:szCs w:val="24"/>
      <w:lang w:val="lt-LT"/>
    </w:rPr>
  </w:style>
  <w:style w:type="character" w:customStyle="1" w:styleId="BodyText3Char">
    <w:name w:val="Body Text 3 Char"/>
    <w:link w:val="BodyText3"/>
    <w:semiHidden/>
    <w:rsid w:val="0029266B"/>
    <w:rPr>
      <w:rFonts w:ascii="Verdana" w:hAnsi="Verdana"/>
      <w:color w:val="0000FF"/>
      <w:sz w:val="16"/>
      <w:szCs w:val="24"/>
      <w:lang w:val="lt-LT"/>
    </w:rPr>
  </w:style>
  <w:style w:type="paragraph" w:styleId="BodyText3">
    <w:name w:val="Body Text 3"/>
    <w:basedOn w:val="Normal"/>
    <w:link w:val="BodyText3Char"/>
    <w:semiHidden/>
    <w:unhideWhenUsed/>
    <w:rsid w:val="0029266B"/>
    <w:pPr>
      <w:tabs>
        <w:tab w:val="left" w:pos="991"/>
        <w:tab w:val="left" w:pos="7848"/>
      </w:tabs>
      <w:spacing w:before="120" w:after="120"/>
      <w:jc w:val="both"/>
    </w:pPr>
    <w:rPr>
      <w:rFonts w:ascii="Verdana" w:hAnsi="Verdana"/>
      <w:color w:val="0000FF"/>
      <w:sz w:val="16"/>
      <w:szCs w:val="24"/>
      <w:lang w:val="lt-LT"/>
    </w:rPr>
  </w:style>
  <w:style w:type="character" w:customStyle="1" w:styleId="BodyTextIndent2Char">
    <w:name w:val="Body Text Indent 2 Char"/>
    <w:link w:val="BodyTextIndent2"/>
    <w:semiHidden/>
    <w:rsid w:val="0029266B"/>
    <w:rPr>
      <w:rFonts w:ascii="Verdana" w:hAnsi="Verdana"/>
      <w:sz w:val="16"/>
      <w:szCs w:val="24"/>
      <w:lang w:val="lt-LT"/>
    </w:rPr>
  </w:style>
  <w:style w:type="paragraph" w:styleId="BodyTextIndent2">
    <w:name w:val="Body Text Indent 2"/>
    <w:basedOn w:val="Normal"/>
    <w:link w:val="BodyTextIndent2Char"/>
    <w:semiHidden/>
    <w:unhideWhenUsed/>
    <w:rsid w:val="0029266B"/>
    <w:pPr>
      <w:spacing w:before="120" w:after="120"/>
      <w:ind w:left="720"/>
      <w:jc w:val="both"/>
    </w:pPr>
    <w:rPr>
      <w:rFonts w:ascii="Verdana" w:hAnsi="Verdana"/>
      <w:sz w:val="16"/>
      <w:szCs w:val="24"/>
      <w:lang w:val="lt-LT"/>
    </w:rPr>
  </w:style>
  <w:style w:type="character" w:customStyle="1" w:styleId="BodyTextIndent3Char">
    <w:name w:val="Body Text Indent 3 Char"/>
    <w:link w:val="BodyTextIndent3"/>
    <w:semiHidden/>
    <w:rsid w:val="0029266B"/>
    <w:rPr>
      <w:rFonts w:ascii="Verdana" w:hAnsi="Verdana"/>
      <w:sz w:val="16"/>
      <w:szCs w:val="22"/>
      <w:lang w:val="lt-LT"/>
    </w:rPr>
  </w:style>
  <w:style w:type="paragraph" w:styleId="BodyTextIndent3">
    <w:name w:val="Body Text Indent 3"/>
    <w:basedOn w:val="Normal"/>
    <w:link w:val="BodyTextIndent3Char"/>
    <w:semiHidden/>
    <w:unhideWhenUsed/>
    <w:rsid w:val="0029266B"/>
    <w:pPr>
      <w:spacing w:before="120" w:after="120"/>
      <w:ind w:left="360"/>
      <w:jc w:val="both"/>
    </w:pPr>
    <w:rPr>
      <w:rFonts w:ascii="Verdana" w:hAnsi="Verdana"/>
      <w:sz w:val="16"/>
      <w:szCs w:val="22"/>
      <w:lang w:val="lt-LT"/>
    </w:rPr>
  </w:style>
  <w:style w:type="character" w:customStyle="1" w:styleId="DocumentMapChar">
    <w:name w:val="Document Map Char"/>
    <w:link w:val="DocumentMap"/>
    <w:semiHidden/>
    <w:rsid w:val="0029266B"/>
    <w:rPr>
      <w:rFonts w:ascii="Tahoma" w:hAnsi="Tahoma" w:cs="Tahoma"/>
      <w:sz w:val="16"/>
      <w:szCs w:val="24"/>
      <w:shd w:val="clear" w:color="auto" w:fill="000080"/>
      <w:lang w:val="lt-LT"/>
    </w:rPr>
  </w:style>
  <w:style w:type="paragraph" w:styleId="DocumentMap">
    <w:name w:val="Document Map"/>
    <w:basedOn w:val="Normal"/>
    <w:link w:val="DocumentMapChar"/>
    <w:semiHidden/>
    <w:unhideWhenUsed/>
    <w:rsid w:val="0029266B"/>
    <w:pPr>
      <w:shd w:val="clear" w:color="auto" w:fill="000080"/>
      <w:spacing w:after="120"/>
      <w:jc w:val="both"/>
    </w:pPr>
    <w:rPr>
      <w:rFonts w:ascii="Tahoma" w:hAnsi="Tahoma"/>
      <w:sz w:val="16"/>
      <w:szCs w:val="24"/>
      <w:lang w:val="lt-LT"/>
    </w:rPr>
  </w:style>
  <w:style w:type="character" w:customStyle="1" w:styleId="PlainTextChar">
    <w:name w:val="Plain Text Char"/>
    <w:link w:val="PlainText"/>
    <w:semiHidden/>
    <w:rsid w:val="0029266B"/>
    <w:rPr>
      <w:rFonts w:ascii="Courier New" w:hAnsi="Courier New" w:cs="Courier New"/>
      <w:sz w:val="16"/>
    </w:rPr>
  </w:style>
  <w:style w:type="paragraph" w:styleId="PlainText">
    <w:name w:val="Plain Text"/>
    <w:basedOn w:val="Normal"/>
    <w:link w:val="PlainTextChar"/>
    <w:semiHidden/>
    <w:unhideWhenUsed/>
    <w:rsid w:val="0029266B"/>
    <w:rPr>
      <w:rFonts w:ascii="Courier New" w:hAnsi="Courier New"/>
      <w:sz w:val="16"/>
    </w:rPr>
  </w:style>
  <w:style w:type="paragraph" w:customStyle="1" w:styleId="CharChar60">
    <w:name w:val="Char Char6"/>
    <w:basedOn w:val="Normal"/>
    <w:uiPriority w:val="99"/>
    <w:rsid w:val="00313954"/>
    <w:pPr>
      <w:spacing w:after="120" w:line="360" w:lineRule="auto"/>
    </w:pPr>
    <w:rPr>
      <w:rFonts w:ascii="Verdana" w:eastAsia="Batang" w:hAnsi="Verdana"/>
      <w:szCs w:val="24"/>
      <w:lang w:val="pl-PL" w:eastAsia="pl-PL"/>
    </w:rPr>
  </w:style>
  <w:style w:type="paragraph" w:customStyle="1" w:styleId="BodyChar">
    <w:name w:val="Body Char"/>
    <w:basedOn w:val="Normal"/>
    <w:rsid w:val="0029266B"/>
    <w:pPr>
      <w:spacing w:after="140" w:line="288" w:lineRule="auto"/>
      <w:ind w:left="425"/>
      <w:jc w:val="both"/>
    </w:pPr>
    <w:rPr>
      <w:rFonts w:ascii="Verdana" w:hAnsi="Verdana"/>
      <w:kern w:val="20"/>
      <w:sz w:val="16"/>
      <w:lang w:val="en-GB"/>
    </w:rPr>
  </w:style>
  <w:style w:type="paragraph" w:customStyle="1" w:styleId="StyleJustifiedLinespacingsingle">
    <w:name w:val="Style Justified Line spacing:  single"/>
    <w:basedOn w:val="Normal"/>
    <w:rsid w:val="0029266B"/>
    <w:pPr>
      <w:spacing w:before="240" w:after="120"/>
      <w:jc w:val="both"/>
    </w:pPr>
    <w:rPr>
      <w:rFonts w:ascii="Verdana" w:hAnsi="Verdana"/>
      <w:kern w:val="20"/>
      <w:sz w:val="16"/>
      <w:lang w:val="en-GB"/>
    </w:rPr>
  </w:style>
  <w:style w:type="paragraph" w:customStyle="1" w:styleId="underskrift">
    <w:name w:val="underskrift"/>
    <w:aliases w:val="u"/>
    <w:basedOn w:val="Normal"/>
    <w:next w:val="Normal"/>
    <w:rsid w:val="0029266B"/>
    <w:pPr>
      <w:tabs>
        <w:tab w:val="left" w:pos="3240"/>
        <w:tab w:val="center" w:pos="4080"/>
        <w:tab w:val="right" w:pos="8160"/>
      </w:tabs>
      <w:spacing w:before="600" w:after="260"/>
      <w:jc w:val="both"/>
    </w:pPr>
    <w:rPr>
      <w:rFonts w:ascii="Times" w:hAnsi="Times"/>
      <w:sz w:val="22"/>
      <w:lang w:val="en-GB"/>
    </w:rPr>
  </w:style>
  <w:style w:type="paragraph" w:customStyle="1" w:styleId="cj">
    <w:name w:val="cj"/>
    <w:basedOn w:val="Normal"/>
    <w:next w:val="underskrift"/>
    <w:rsid w:val="0029266B"/>
    <w:pPr>
      <w:keepNext/>
      <w:spacing w:after="480"/>
      <w:jc w:val="both"/>
    </w:pPr>
    <w:rPr>
      <w:rFonts w:ascii="Times" w:hAnsi="Times"/>
      <w:sz w:val="22"/>
      <w:lang w:val="en-GB"/>
    </w:rPr>
  </w:style>
  <w:style w:type="paragraph" w:customStyle="1" w:styleId="table">
    <w:name w:val="table+"/>
    <w:aliases w:val="t+,tabel+"/>
    <w:basedOn w:val="Normal"/>
    <w:rsid w:val="0029266B"/>
    <w:pPr>
      <w:spacing w:line="260" w:lineRule="atLeast"/>
      <w:ind w:left="260" w:right="120" w:hanging="260"/>
      <w:jc w:val="right"/>
    </w:pPr>
    <w:rPr>
      <w:rFonts w:ascii="Times" w:hAnsi="Times"/>
      <w:sz w:val="22"/>
      <w:lang w:val="en-GB"/>
    </w:rPr>
  </w:style>
  <w:style w:type="paragraph" w:customStyle="1" w:styleId="tableheading">
    <w:name w:val="table heading"/>
    <w:aliases w:val="th,tabel heading"/>
    <w:basedOn w:val="Normal"/>
    <w:rsid w:val="0029266B"/>
    <w:pPr>
      <w:spacing w:line="260" w:lineRule="atLeast"/>
      <w:ind w:left="120" w:right="120"/>
    </w:pPr>
    <w:rPr>
      <w:rFonts w:ascii="Times" w:hAnsi="Times"/>
      <w:sz w:val="22"/>
      <w:lang w:val="en-GB"/>
    </w:rPr>
  </w:style>
  <w:style w:type="paragraph" w:customStyle="1" w:styleId="table0">
    <w:name w:val="table"/>
    <w:aliases w:val="t,tabel,te,tekst"/>
    <w:basedOn w:val="Normal"/>
    <w:rsid w:val="0029266B"/>
    <w:pPr>
      <w:spacing w:line="260" w:lineRule="atLeast"/>
      <w:ind w:left="260" w:hanging="260"/>
    </w:pPr>
    <w:rPr>
      <w:rFonts w:ascii="Times" w:hAnsi="Times"/>
      <w:sz w:val="22"/>
      <w:lang w:val="en-GB"/>
    </w:rPr>
  </w:style>
  <w:style w:type="paragraph" w:customStyle="1" w:styleId="table1">
    <w:name w:val="table_"/>
    <w:aliases w:val="t_,tabel_"/>
    <w:basedOn w:val="Normal"/>
    <w:rsid w:val="0029266B"/>
    <w:pPr>
      <w:pBdr>
        <w:bottom w:val="single" w:sz="2" w:space="1" w:color="auto"/>
      </w:pBdr>
      <w:spacing w:after="60" w:line="20" w:lineRule="exact"/>
      <w:ind w:left="120" w:right="120"/>
      <w:jc w:val="right"/>
    </w:pPr>
    <w:rPr>
      <w:rFonts w:ascii="Times" w:hAnsi="Times"/>
      <w:b/>
      <w:position w:val="4"/>
      <w:sz w:val="22"/>
      <w:lang w:val="en-GB"/>
    </w:rPr>
  </w:style>
  <w:style w:type="paragraph" w:customStyle="1" w:styleId="tablet">
    <w:name w:val="table t"/>
    <w:aliases w:val="tt"/>
    <w:basedOn w:val="Normal"/>
    <w:rsid w:val="0029266B"/>
    <w:pPr>
      <w:spacing w:line="40" w:lineRule="exact"/>
    </w:pPr>
    <w:rPr>
      <w:rFonts w:ascii="Times" w:hAnsi="Times"/>
      <w:sz w:val="22"/>
      <w:lang w:val="en-GB"/>
    </w:rPr>
  </w:style>
  <w:style w:type="paragraph" w:customStyle="1" w:styleId="table2">
    <w:name w:val="table="/>
    <w:aliases w:val="t=,tabel="/>
    <w:basedOn w:val="Normal"/>
    <w:rsid w:val="0029266B"/>
    <w:pPr>
      <w:pBdr>
        <w:bottom w:val="double" w:sz="4" w:space="1" w:color="auto"/>
      </w:pBdr>
      <w:spacing w:after="120" w:line="60" w:lineRule="exact"/>
      <w:ind w:left="120" w:right="120"/>
      <w:jc w:val="right"/>
    </w:pPr>
    <w:rPr>
      <w:rFonts w:ascii="Times" w:hAnsi="Times"/>
      <w:position w:val="-6"/>
      <w:sz w:val="44"/>
      <w:u w:val="double"/>
      <w:lang w:val="en-GB"/>
    </w:rPr>
  </w:style>
  <w:style w:type="paragraph" w:customStyle="1" w:styleId="Graphic">
    <w:name w:val="Graphic"/>
    <w:basedOn w:val="Signature"/>
    <w:rsid w:val="0029266B"/>
    <w:pPr>
      <w:pBdr>
        <w:top w:val="single" w:sz="4" w:space="1" w:color="auto"/>
        <w:left w:val="single" w:sz="4" w:space="1" w:color="auto"/>
        <w:bottom w:val="single" w:sz="4" w:space="1" w:color="auto"/>
        <w:right w:val="single" w:sz="4" w:space="1" w:color="auto"/>
      </w:pBdr>
      <w:jc w:val="center"/>
    </w:pPr>
  </w:style>
  <w:style w:type="paragraph" w:customStyle="1" w:styleId="zreportaddinfoit">
    <w:name w:val="zreport addinfoit"/>
    <w:basedOn w:val="Normal"/>
    <w:rsid w:val="0029266B"/>
    <w:pPr>
      <w:framePr w:wrap="around" w:hAnchor="page" w:xAlign="center" w:yAlign="bottom"/>
      <w:spacing w:line="260" w:lineRule="atLeast"/>
      <w:jc w:val="center"/>
    </w:pPr>
    <w:rPr>
      <w:rFonts w:ascii="Times" w:hAnsi="Times"/>
      <w:i/>
      <w:sz w:val="16"/>
      <w:lang w:val="en-GB"/>
    </w:rPr>
  </w:style>
  <w:style w:type="paragraph" w:customStyle="1" w:styleId="AppendixHeading">
    <w:name w:val="Appendix Heading"/>
    <w:basedOn w:val="Heading1"/>
    <w:next w:val="BodyText"/>
    <w:rsid w:val="0029266B"/>
    <w:pPr>
      <w:tabs>
        <w:tab w:val="clear" w:pos="540"/>
      </w:tabs>
      <w:spacing w:before="400" w:line="360" w:lineRule="exact"/>
      <w:outlineLvl w:val="9"/>
    </w:pPr>
    <w:rPr>
      <w:bCs w:val="0"/>
      <w:kern w:val="0"/>
      <w:sz w:val="32"/>
      <w:szCs w:val="20"/>
    </w:rPr>
  </w:style>
  <w:style w:type="paragraph" w:customStyle="1" w:styleId="AppendixHeading2">
    <w:name w:val="Appendix Heading 2"/>
    <w:basedOn w:val="Heading2"/>
    <w:next w:val="BodyText"/>
    <w:rsid w:val="0029266B"/>
    <w:pPr>
      <w:spacing w:before="400" w:line="320" w:lineRule="exact"/>
      <w:jc w:val="left"/>
      <w:outlineLvl w:val="9"/>
    </w:pPr>
    <w:rPr>
      <w:bCs w:val="0"/>
      <w:iCs w:val="0"/>
      <w:sz w:val="28"/>
      <w:szCs w:val="20"/>
      <w:lang w:val="en-US"/>
    </w:rPr>
  </w:style>
  <w:style w:type="paragraph" w:customStyle="1" w:styleId="AppendixHeading3">
    <w:name w:val="Appendix Heading 3"/>
    <w:basedOn w:val="Heading3"/>
    <w:next w:val="BodyText"/>
    <w:rsid w:val="0029266B"/>
    <w:pPr>
      <w:tabs>
        <w:tab w:val="clear" w:pos="720"/>
      </w:tabs>
      <w:spacing w:before="400" w:line="280" w:lineRule="exact"/>
      <w:jc w:val="left"/>
      <w:outlineLvl w:val="9"/>
    </w:pPr>
    <w:rPr>
      <w:bCs w:val="0"/>
      <w:color w:val="auto"/>
      <w:sz w:val="24"/>
      <w:szCs w:val="20"/>
    </w:rPr>
  </w:style>
  <w:style w:type="paragraph" w:customStyle="1" w:styleId="AppendixHeading4">
    <w:name w:val="Appendix Heading 4"/>
    <w:basedOn w:val="Heading4"/>
    <w:next w:val="BodyText"/>
    <w:rsid w:val="0029266B"/>
    <w:pPr>
      <w:tabs>
        <w:tab w:val="clear" w:pos="360"/>
      </w:tabs>
      <w:spacing w:before="400" w:after="0" w:line="280" w:lineRule="exact"/>
      <w:jc w:val="left"/>
      <w:outlineLvl w:val="9"/>
    </w:pPr>
    <w:rPr>
      <w:b w:val="0"/>
      <w:i/>
      <w:sz w:val="24"/>
      <w:szCs w:val="20"/>
      <w:lang w:val="en-US"/>
    </w:rPr>
  </w:style>
  <w:style w:type="paragraph" w:customStyle="1" w:styleId="AppendixHeading5">
    <w:name w:val="Appendix Heading 5"/>
    <w:basedOn w:val="Heading5"/>
    <w:next w:val="BodyText"/>
    <w:rsid w:val="0029266B"/>
    <w:pPr>
      <w:keepNext/>
      <w:tabs>
        <w:tab w:val="clear" w:pos="360"/>
      </w:tabs>
      <w:spacing w:before="400" w:after="0" w:line="260" w:lineRule="exact"/>
      <w:jc w:val="left"/>
      <w:outlineLvl w:val="9"/>
    </w:pPr>
    <w:rPr>
      <w:b w:val="0"/>
      <w:bCs w:val="0"/>
      <w:iCs w:val="0"/>
      <w:sz w:val="22"/>
      <w:szCs w:val="20"/>
      <w:lang w:val="en-US"/>
    </w:rPr>
  </w:style>
  <w:style w:type="paragraph" w:customStyle="1" w:styleId="adr">
    <w:name w:val="adr"/>
    <w:basedOn w:val="Normal"/>
    <w:rsid w:val="0029266B"/>
    <w:pPr>
      <w:tabs>
        <w:tab w:val="left" w:pos="680"/>
        <w:tab w:val="right" w:pos="7683"/>
        <w:tab w:val="right" w:pos="9120"/>
      </w:tabs>
      <w:spacing w:line="240" w:lineRule="exact"/>
    </w:pPr>
    <w:rPr>
      <w:rFonts w:ascii="Univers 45 Light" w:hAnsi="Univers 45 Light"/>
      <w:sz w:val="16"/>
      <w:lang w:val="en-GB"/>
    </w:rPr>
  </w:style>
  <w:style w:type="paragraph" w:customStyle="1" w:styleId="tablesub">
    <w:name w:val="table sub__"/>
    <w:aliases w:val="ts_"/>
    <w:basedOn w:val="table1"/>
    <w:autoRedefine/>
    <w:rsid w:val="0029266B"/>
    <w:pPr>
      <w:spacing w:line="60" w:lineRule="exact"/>
    </w:pPr>
    <w:rPr>
      <w:position w:val="-4"/>
    </w:rPr>
  </w:style>
  <w:style w:type="paragraph" w:customStyle="1" w:styleId="tablet0">
    <w:name w:val="table t_"/>
    <w:aliases w:val="tt_"/>
    <w:basedOn w:val="table1"/>
    <w:rsid w:val="0029266B"/>
    <w:rPr>
      <w:sz w:val="18"/>
    </w:rPr>
  </w:style>
  <w:style w:type="paragraph" w:customStyle="1" w:styleId="tfl">
    <w:name w:val="tfl"/>
    <w:basedOn w:val="Normal"/>
    <w:rsid w:val="0029266B"/>
    <w:pPr>
      <w:spacing w:line="240" w:lineRule="exact"/>
    </w:pPr>
    <w:rPr>
      <w:rFonts w:ascii="Times" w:hAnsi="Times"/>
      <w:i/>
      <w:sz w:val="22"/>
      <w:lang w:val="en-GB"/>
    </w:rPr>
  </w:style>
  <w:style w:type="paragraph" w:customStyle="1" w:styleId="initialer">
    <w:name w:val="initialer"/>
    <w:aliases w:val="int"/>
    <w:basedOn w:val="Normal"/>
    <w:next w:val="Normal"/>
    <w:rsid w:val="0029266B"/>
    <w:pPr>
      <w:framePr w:w="9405" w:hSpace="180" w:vSpace="180" w:wrap="auto" w:hAnchor="text" w:yAlign="bottom"/>
      <w:spacing w:line="360" w:lineRule="atLeast"/>
    </w:pPr>
    <w:rPr>
      <w:rFonts w:ascii="Times" w:hAnsi="Times"/>
      <w:sz w:val="16"/>
      <w:lang w:val="en-GB"/>
    </w:rPr>
  </w:style>
  <w:style w:type="paragraph" w:customStyle="1" w:styleId="at">
    <w:name w:val="at"/>
    <w:basedOn w:val="Normal"/>
    <w:rsid w:val="0029266B"/>
    <w:pPr>
      <w:spacing w:after="260" w:line="260" w:lineRule="atLeast"/>
      <w:ind w:left="567" w:hanging="567"/>
      <w:jc w:val="both"/>
    </w:pPr>
    <w:rPr>
      <w:rFonts w:ascii="Times" w:hAnsi="Times"/>
      <w:sz w:val="22"/>
      <w:lang w:val="en-GB"/>
    </w:rPr>
  </w:style>
  <w:style w:type="paragraph" w:customStyle="1" w:styleId="citat2">
    <w:name w:val="citat2"/>
    <w:basedOn w:val="citat"/>
    <w:rsid w:val="0029266B"/>
    <w:pPr>
      <w:ind w:firstLine="0"/>
    </w:pPr>
  </w:style>
  <w:style w:type="paragraph" w:customStyle="1" w:styleId="citat">
    <w:name w:val="citat"/>
    <w:aliases w:val="c"/>
    <w:basedOn w:val="BodyText"/>
    <w:next w:val="citat2"/>
    <w:rsid w:val="0029266B"/>
    <w:pPr>
      <w:spacing w:after="260" w:line="260" w:lineRule="atLeast"/>
      <w:ind w:left="340" w:hanging="80"/>
    </w:pPr>
    <w:rPr>
      <w:rFonts w:ascii="Times" w:hAnsi="Times"/>
      <w:sz w:val="22"/>
    </w:rPr>
  </w:style>
  <w:style w:type="paragraph" w:customStyle="1" w:styleId="midtpjevs">
    <w:name w:val="midtpjevs"/>
    <w:basedOn w:val="Normal"/>
    <w:next w:val="Normal"/>
    <w:rsid w:val="0029266B"/>
    <w:pPr>
      <w:tabs>
        <w:tab w:val="center" w:pos="4400"/>
      </w:tabs>
      <w:spacing w:after="260" w:line="260" w:lineRule="atLeast"/>
      <w:jc w:val="center"/>
    </w:pPr>
    <w:rPr>
      <w:rFonts w:ascii="Times" w:hAnsi="Times"/>
      <w:b/>
      <w:spacing w:val="40"/>
      <w:sz w:val="28"/>
      <w:lang w:val="en-GB"/>
    </w:rPr>
  </w:style>
  <w:style w:type="paragraph" w:customStyle="1" w:styleId="mvh">
    <w:name w:val="mvh"/>
    <w:basedOn w:val="cj"/>
    <w:next w:val="underskrift"/>
    <w:rsid w:val="0029266B"/>
    <w:pPr>
      <w:jc w:val="left"/>
    </w:pPr>
  </w:style>
  <w:style w:type="paragraph" w:customStyle="1" w:styleId="note">
    <w:name w:val="note"/>
    <w:basedOn w:val="Normal"/>
    <w:next w:val="Normal"/>
    <w:rsid w:val="0029266B"/>
    <w:pPr>
      <w:keepNext/>
      <w:tabs>
        <w:tab w:val="left" w:pos="0"/>
        <w:tab w:val="right" w:pos="7683"/>
        <w:tab w:val="right" w:pos="9129"/>
      </w:tabs>
      <w:spacing w:line="260" w:lineRule="atLeast"/>
      <w:ind w:left="500" w:hanging="500"/>
    </w:pPr>
    <w:rPr>
      <w:rFonts w:ascii="Times" w:hAnsi="Times"/>
      <w:b/>
      <w:sz w:val="22"/>
      <w:lang w:val="en-GB"/>
    </w:rPr>
  </w:style>
  <w:style w:type="paragraph" w:customStyle="1" w:styleId="heading1fortsat">
    <w:name w:val="heading 1 fortsat"/>
    <w:aliases w:val="h1f"/>
    <w:basedOn w:val="Normal"/>
    <w:next w:val="Normal"/>
    <w:rsid w:val="0029266B"/>
    <w:pPr>
      <w:spacing w:before="400" w:after="600" w:line="320" w:lineRule="exact"/>
    </w:pPr>
    <w:rPr>
      <w:rFonts w:ascii="Times" w:hAnsi="Times"/>
      <w:b/>
      <w:caps/>
      <w:sz w:val="32"/>
      <w:lang w:val="da-DK"/>
    </w:rPr>
  </w:style>
  <w:style w:type="paragraph" w:customStyle="1" w:styleId="tableheading0">
    <w:name w:val="table&lt; heading"/>
    <w:aliases w:val="t&lt;h"/>
    <w:basedOn w:val="Normal"/>
    <w:next w:val="Normal"/>
    <w:rsid w:val="0029266B"/>
    <w:pPr>
      <w:spacing w:before="60" w:line="180" w:lineRule="exact"/>
      <w:ind w:left="60" w:right="60"/>
    </w:pPr>
    <w:rPr>
      <w:rFonts w:ascii="Times" w:hAnsi="Times"/>
      <w:sz w:val="18"/>
      <w:lang w:val="da-DK"/>
    </w:rPr>
  </w:style>
  <w:style w:type="paragraph" w:customStyle="1" w:styleId="Bulleted">
    <w:name w:val="Bulleted"/>
    <w:basedOn w:val="Normal"/>
    <w:rsid w:val="0029266B"/>
    <w:pPr>
      <w:tabs>
        <w:tab w:val="num" w:pos="720"/>
      </w:tabs>
      <w:spacing w:after="120"/>
      <w:ind w:left="720" w:hanging="360"/>
      <w:jc w:val="both"/>
    </w:pPr>
    <w:rPr>
      <w:rFonts w:ascii="Verdana" w:hAnsi="Verdana"/>
      <w:sz w:val="16"/>
      <w:szCs w:val="24"/>
      <w:lang w:val="lt-LT"/>
    </w:rPr>
  </w:style>
  <w:style w:type="paragraph" w:customStyle="1" w:styleId="Lentele">
    <w:name w:val="Lentele"/>
    <w:basedOn w:val="Normal"/>
    <w:rsid w:val="0029266B"/>
    <w:pPr>
      <w:spacing w:after="120"/>
      <w:jc w:val="both"/>
    </w:pPr>
    <w:rPr>
      <w:rFonts w:ascii="Verdana" w:hAnsi="Verdana"/>
      <w:sz w:val="16"/>
      <w:lang w:val="lt-LT"/>
    </w:rPr>
  </w:style>
  <w:style w:type="paragraph" w:customStyle="1" w:styleId="Prezidentas">
    <w:name w:val="Prezidentas"/>
    <w:rsid w:val="0029266B"/>
    <w:pPr>
      <w:tabs>
        <w:tab w:val="right" w:pos="9808"/>
      </w:tabs>
    </w:pPr>
    <w:rPr>
      <w:rFonts w:ascii="TimesLT" w:hAnsi="TimesLT"/>
      <w:caps/>
      <w:lang w:eastAsia="en-US"/>
    </w:rPr>
  </w:style>
  <w:style w:type="paragraph" w:customStyle="1" w:styleId="AANumbering">
    <w:name w:val="AA Numbering"/>
    <w:basedOn w:val="Normal"/>
    <w:rsid w:val="0029266B"/>
    <w:pPr>
      <w:tabs>
        <w:tab w:val="num" w:pos="283"/>
      </w:tabs>
      <w:spacing w:line="240" w:lineRule="atLeast"/>
      <w:ind w:left="283" w:hanging="283"/>
    </w:pPr>
    <w:rPr>
      <w:rFonts w:ascii="Arial" w:hAnsi="Arial"/>
      <w:sz w:val="18"/>
    </w:rPr>
  </w:style>
  <w:style w:type="paragraph" w:customStyle="1" w:styleId="xl27">
    <w:name w:val="xl27"/>
    <w:basedOn w:val="Normal"/>
    <w:rsid w:val="0029266B"/>
    <w:pPr>
      <w:spacing w:before="100" w:beforeAutospacing="1" w:after="100" w:afterAutospacing="1"/>
    </w:pPr>
    <w:rPr>
      <w:rFonts w:ascii="Tahoma" w:eastAsia="Arial Unicode MS" w:hAnsi="Tahoma" w:cs="Tahoma"/>
      <w:sz w:val="16"/>
      <w:szCs w:val="16"/>
      <w:lang w:val="lt-LT"/>
    </w:rPr>
  </w:style>
  <w:style w:type="paragraph" w:customStyle="1" w:styleId="xl48">
    <w:name w:val="xl48"/>
    <w:basedOn w:val="Normal"/>
    <w:rsid w:val="0029266B"/>
    <w:pPr>
      <w:pBdr>
        <w:left w:val="single" w:sz="4" w:space="0" w:color="auto"/>
      </w:pBdr>
      <w:spacing w:before="100" w:beforeAutospacing="1" w:after="100" w:afterAutospacing="1"/>
      <w:jc w:val="both"/>
    </w:pPr>
    <w:rPr>
      <w:rFonts w:ascii="Verdana" w:eastAsia="Arial Unicode MS" w:hAnsi="Verdana"/>
      <w:sz w:val="16"/>
      <w:szCs w:val="16"/>
      <w:lang w:val="en-GB"/>
    </w:rPr>
  </w:style>
  <w:style w:type="paragraph" w:customStyle="1" w:styleId="ps-000-normal">
    <w:name w:val="ps-000-normal"/>
    <w:basedOn w:val="Normal"/>
    <w:rsid w:val="0029266B"/>
    <w:pPr>
      <w:spacing w:before="100" w:beforeAutospacing="1" w:after="100" w:afterAutospacing="1"/>
    </w:pPr>
    <w:rPr>
      <w:rFonts w:ascii="Verdana" w:hAnsi="Verdana"/>
      <w:sz w:val="24"/>
      <w:szCs w:val="24"/>
    </w:rPr>
  </w:style>
  <w:style w:type="character" w:customStyle="1" w:styleId="tabletxtnsChar">
    <w:name w:val="tabletxtns Char"/>
    <w:link w:val="tabletxtns"/>
    <w:locked/>
    <w:rsid w:val="0029266B"/>
    <w:rPr>
      <w:rFonts w:ascii="EY Gothic Comp BookPS" w:hAnsi="EY Gothic Comp BookPS"/>
      <w:color w:val="000000"/>
      <w:lang w:val="en-GB"/>
    </w:rPr>
  </w:style>
  <w:style w:type="paragraph" w:customStyle="1" w:styleId="tabletxtns">
    <w:name w:val="tabletxtns"/>
    <w:basedOn w:val="Normal"/>
    <w:link w:val="tabletxtnsChar"/>
    <w:rsid w:val="0029266B"/>
    <w:pPr>
      <w:overflowPunct w:val="0"/>
      <w:autoSpaceDE w:val="0"/>
      <w:autoSpaceDN w:val="0"/>
      <w:adjustRightInd w:val="0"/>
      <w:spacing w:before="20" w:line="200" w:lineRule="exact"/>
    </w:pPr>
    <w:rPr>
      <w:rFonts w:ascii="EY Gothic Comp BookPS" w:hAnsi="EY Gothic Comp BookPS"/>
      <w:color w:val="000000"/>
      <w:lang w:val="en-GB"/>
    </w:rPr>
  </w:style>
  <w:style w:type="paragraph" w:customStyle="1" w:styleId="tabletxthdital">
    <w:name w:val="tabletxt hdital"/>
    <w:basedOn w:val="Normal"/>
    <w:rsid w:val="0029266B"/>
    <w:pPr>
      <w:tabs>
        <w:tab w:val="decimal" w:pos="782"/>
      </w:tabs>
      <w:overflowPunct w:val="0"/>
      <w:autoSpaceDE w:val="0"/>
      <w:autoSpaceDN w:val="0"/>
      <w:adjustRightInd w:val="0"/>
      <w:spacing w:before="20" w:line="200" w:lineRule="exact"/>
    </w:pPr>
    <w:rPr>
      <w:rFonts w:ascii="EY Gothic Comp BookPS" w:hAnsi="EY Gothic Comp BookPS"/>
      <w:i/>
      <w:sz w:val="16"/>
      <w:lang w:val="en-GB"/>
    </w:rPr>
  </w:style>
  <w:style w:type="character" w:customStyle="1" w:styleId="tabletxtsChar">
    <w:name w:val="tabletxt #s Char"/>
    <w:link w:val="tabletxts"/>
    <w:locked/>
    <w:rsid w:val="0029266B"/>
    <w:rPr>
      <w:rFonts w:ascii="EY Gothic Comp BookPS" w:hAnsi="EY Gothic Comp BookPS"/>
      <w:noProof/>
      <w:color w:val="000000"/>
      <w:lang w:val="en-GB"/>
    </w:rPr>
  </w:style>
  <w:style w:type="paragraph" w:customStyle="1" w:styleId="tabletxts">
    <w:name w:val="tabletxt #s"/>
    <w:basedOn w:val="Normal"/>
    <w:link w:val="tabletxtsChar"/>
    <w:rsid w:val="0029266B"/>
    <w:pPr>
      <w:tabs>
        <w:tab w:val="decimal" w:pos="778"/>
      </w:tabs>
      <w:overflowPunct w:val="0"/>
      <w:autoSpaceDE w:val="0"/>
      <w:autoSpaceDN w:val="0"/>
      <w:adjustRightInd w:val="0"/>
      <w:spacing w:before="20" w:line="200" w:lineRule="exact"/>
    </w:pPr>
    <w:rPr>
      <w:rFonts w:ascii="EY Gothic Comp BookPS" w:hAnsi="EY Gothic Comp BookPS"/>
      <w:noProof/>
      <w:color w:val="000000"/>
      <w:lang w:val="en-GB"/>
    </w:rPr>
  </w:style>
  <w:style w:type="character" w:customStyle="1" w:styleId="tabletxthdChar">
    <w:name w:val="tabletxthd Char"/>
    <w:link w:val="tabletxthd"/>
    <w:locked/>
    <w:rsid w:val="0029266B"/>
    <w:rPr>
      <w:rFonts w:ascii="EY Gothic Comp BookPS" w:hAnsi="EY Gothic Comp BookPS"/>
      <w:b/>
      <w:bCs/>
      <w:noProof/>
      <w:color w:val="000000"/>
      <w:lang w:val="en-GB"/>
    </w:rPr>
  </w:style>
  <w:style w:type="paragraph" w:customStyle="1" w:styleId="tabletxthd">
    <w:name w:val="tabletxthd"/>
    <w:basedOn w:val="Normal"/>
    <w:link w:val="tabletxthdChar"/>
    <w:rsid w:val="0029266B"/>
    <w:pPr>
      <w:overflowPunct w:val="0"/>
      <w:autoSpaceDE w:val="0"/>
      <w:autoSpaceDN w:val="0"/>
      <w:adjustRightInd w:val="0"/>
      <w:spacing w:before="20" w:line="200" w:lineRule="exact"/>
    </w:pPr>
    <w:rPr>
      <w:rFonts w:ascii="EY Gothic Comp BookPS" w:hAnsi="EY Gothic Comp BookPS"/>
      <w:b/>
      <w:bCs/>
      <w:noProof/>
      <w:color w:val="000000"/>
      <w:lang w:val="en-GB"/>
    </w:rPr>
  </w:style>
  <w:style w:type="character" w:customStyle="1" w:styleId="tabletxteygChar">
    <w:name w:val="tabletxt eyg Char"/>
    <w:link w:val="tabletxteyg"/>
    <w:locked/>
    <w:rsid w:val="0029266B"/>
    <w:rPr>
      <w:rFonts w:ascii="EY Gothic Comp BookPS" w:hAnsi="EY Gothic Comp BookPS"/>
      <w:color w:val="000000"/>
      <w:lang w:val="en-GB"/>
    </w:rPr>
  </w:style>
  <w:style w:type="paragraph" w:customStyle="1" w:styleId="tabletxteyg">
    <w:name w:val="tabletxt eyg"/>
    <w:basedOn w:val="Normal"/>
    <w:link w:val="tabletxteygChar"/>
    <w:rsid w:val="0029266B"/>
    <w:pPr>
      <w:tabs>
        <w:tab w:val="right" w:leader="dot" w:pos="9739"/>
      </w:tabs>
      <w:overflowPunct w:val="0"/>
      <w:autoSpaceDE w:val="0"/>
      <w:autoSpaceDN w:val="0"/>
      <w:adjustRightInd w:val="0"/>
      <w:spacing w:before="20" w:after="40" w:line="240" w:lineRule="exact"/>
    </w:pPr>
    <w:rPr>
      <w:rFonts w:ascii="EY Gothic Comp BookPS" w:hAnsi="EY Gothic Comp BookPS"/>
      <w:color w:val="000000"/>
      <w:lang w:val="en-GB"/>
    </w:rPr>
  </w:style>
  <w:style w:type="character" w:customStyle="1" w:styleId="tabletxtssmChar">
    <w:name w:val="tabletxt #s sm Char"/>
    <w:link w:val="tabletxtssm"/>
    <w:locked/>
    <w:rsid w:val="0029266B"/>
  </w:style>
  <w:style w:type="paragraph" w:customStyle="1" w:styleId="tabletxtssm">
    <w:name w:val="tabletxt #s sm"/>
    <w:basedOn w:val="tabletxts"/>
    <w:link w:val="tabletxtssmChar"/>
    <w:rsid w:val="0029266B"/>
    <w:pPr>
      <w:tabs>
        <w:tab w:val="clear" w:pos="778"/>
        <w:tab w:val="decimal" w:pos="504"/>
      </w:tabs>
    </w:pPr>
    <w:rPr>
      <w:rFonts w:ascii="Times New Roman" w:hAnsi="Times New Roman"/>
      <w:noProof w:val="0"/>
      <w:color w:val="auto"/>
      <w:lang w:val="en-US"/>
    </w:rPr>
  </w:style>
  <w:style w:type="paragraph" w:customStyle="1" w:styleId="Heading7BookAntiqua">
    <w:name w:val="Heading 7 + Book Antiqua"/>
    <w:aliases w:val="9 pt,Left,Before:  0 pt,After:  0 pt"/>
    <w:basedOn w:val="Heading7"/>
    <w:rsid w:val="0029266B"/>
    <w:pPr>
      <w:keepNext/>
      <w:tabs>
        <w:tab w:val="clear" w:pos="360"/>
        <w:tab w:val="num" w:pos="0"/>
      </w:tabs>
      <w:autoSpaceDE w:val="0"/>
      <w:autoSpaceDN w:val="0"/>
      <w:adjustRightInd w:val="0"/>
      <w:spacing w:before="0" w:after="0"/>
      <w:ind w:hanging="360"/>
      <w:jc w:val="left"/>
    </w:pPr>
    <w:rPr>
      <w:rFonts w:ascii="Book Antiqua" w:hAnsi="Book Antiqua"/>
      <w:sz w:val="18"/>
    </w:rPr>
  </w:style>
  <w:style w:type="paragraph" w:customStyle="1" w:styleId="BodyText1">
    <w:name w:val="Body Text1"/>
    <w:rsid w:val="0029266B"/>
    <w:pPr>
      <w:ind w:firstLine="312"/>
      <w:jc w:val="both"/>
    </w:pPr>
    <w:rPr>
      <w:rFonts w:ascii="TimesLT" w:hAnsi="TimesLT"/>
      <w:lang w:eastAsia="en-US"/>
    </w:rPr>
  </w:style>
  <w:style w:type="paragraph" w:customStyle="1" w:styleId="tabletxteyg2af">
    <w:name w:val="tabletxt eyg 2af"/>
    <w:basedOn w:val="Normal"/>
    <w:rsid w:val="0029266B"/>
    <w:pPr>
      <w:tabs>
        <w:tab w:val="right" w:leader="dot" w:pos="9739"/>
      </w:tabs>
      <w:overflowPunct w:val="0"/>
      <w:autoSpaceDE w:val="0"/>
      <w:autoSpaceDN w:val="0"/>
      <w:adjustRightInd w:val="0"/>
      <w:spacing w:before="20" w:after="40" w:line="240" w:lineRule="exact"/>
    </w:pPr>
    <w:rPr>
      <w:rFonts w:ascii="EY Gothic Comp BookPS" w:hAnsi="EY Gothic Comp BookPS"/>
      <w:color w:val="000000"/>
      <w:sz w:val="16"/>
      <w:lang w:val="en-GB"/>
    </w:rPr>
  </w:style>
  <w:style w:type="paragraph" w:customStyle="1" w:styleId="AAheadingwocontents">
    <w:name w:val="AA heading wo contents"/>
    <w:basedOn w:val="Normal"/>
    <w:rsid w:val="0029266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rFonts w:ascii="Verdana" w:hAnsi="Verdana"/>
      <w:b/>
      <w:sz w:val="22"/>
    </w:rPr>
  </w:style>
  <w:style w:type="paragraph" w:customStyle="1" w:styleId="Indent">
    <w:name w:val="Indent"/>
    <w:rsid w:val="0029266B"/>
    <w:pPr>
      <w:widowControl w:val="0"/>
      <w:autoSpaceDE w:val="0"/>
      <w:autoSpaceDN w:val="0"/>
      <w:adjustRightInd w:val="0"/>
      <w:spacing w:after="120"/>
      <w:ind w:left="540"/>
    </w:pPr>
    <w:rPr>
      <w:rFonts w:ascii="Arial" w:hAnsi="Arial"/>
      <w:sz w:val="24"/>
      <w:szCs w:val="24"/>
      <w:lang w:val="en-US" w:eastAsia="en-US"/>
    </w:rPr>
  </w:style>
  <w:style w:type="paragraph" w:customStyle="1" w:styleId="ISTATYMAS">
    <w:name w:val="ISTATYMAS"/>
    <w:rsid w:val="0029266B"/>
    <w:pPr>
      <w:jc w:val="center"/>
    </w:pPr>
    <w:rPr>
      <w:rFonts w:ascii="TimesLT" w:hAnsi="TimesLT"/>
      <w:lang w:eastAsia="en-US"/>
    </w:rPr>
  </w:style>
  <w:style w:type="paragraph" w:customStyle="1" w:styleId="CentrBold">
    <w:name w:val="CentrBold"/>
    <w:rsid w:val="0029266B"/>
    <w:pPr>
      <w:jc w:val="center"/>
    </w:pPr>
    <w:rPr>
      <w:rFonts w:ascii="TimesLT" w:hAnsi="TimesLT"/>
      <w:b/>
      <w:caps/>
      <w:lang w:eastAsia="en-US"/>
    </w:rPr>
  </w:style>
  <w:style w:type="paragraph" w:customStyle="1" w:styleId="Heading1times">
    <w:name w:val="Heading 1 _ times"/>
    <w:basedOn w:val="Heading1"/>
    <w:rsid w:val="0029266B"/>
    <w:pPr>
      <w:tabs>
        <w:tab w:val="clear" w:pos="540"/>
      </w:tabs>
      <w:spacing w:before="240" w:after="60"/>
    </w:pPr>
    <w:rPr>
      <w:sz w:val="32"/>
      <w:lang w:val="lt-LT" w:eastAsia="lt-LT"/>
    </w:rPr>
  </w:style>
  <w:style w:type="paragraph" w:customStyle="1" w:styleId="Fait">
    <w:name w:val="Fait ?"/>
    <w:basedOn w:val="Normal"/>
    <w:next w:val="Normal"/>
    <w:rsid w:val="0029266B"/>
    <w:pPr>
      <w:spacing w:before="120" w:after="120"/>
      <w:jc w:val="both"/>
    </w:pPr>
    <w:rPr>
      <w:rFonts w:ascii="Verdana" w:hAnsi="Verdana"/>
      <w:sz w:val="16"/>
      <w:szCs w:val="24"/>
      <w:lang w:val="en-GB"/>
    </w:rPr>
  </w:style>
  <w:style w:type="paragraph" w:customStyle="1" w:styleId="xl24">
    <w:name w:val="xl24"/>
    <w:basedOn w:val="Normal"/>
    <w:rsid w:val="0029266B"/>
    <w:pPr>
      <w:spacing w:before="100" w:beforeAutospacing="1" w:after="100" w:afterAutospacing="1"/>
    </w:pPr>
    <w:rPr>
      <w:rFonts w:ascii="CenturyCondensed" w:eastAsia="Arial Unicode MS" w:hAnsi="CenturyCondensed" w:cs="Arial Unicode MS"/>
      <w:color w:val="000000"/>
      <w:sz w:val="24"/>
      <w:szCs w:val="24"/>
    </w:rPr>
  </w:style>
  <w:style w:type="paragraph" w:customStyle="1" w:styleId="StyleHeading2">
    <w:name w:val="Style Heading 2"/>
    <w:aliases w:val="h2 + 10 pt Not Bold Left Before:  18 pt"/>
    <w:basedOn w:val="Heading2"/>
    <w:rsid w:val="0029266B"/>
    <w:pPr>
      <w:tabs>
        <w:tab w:val="num" w:pos="360"/>
      </w:tabs>
      <w:spacing w:before="240" w:after="120"/>
      <w:jc w:val="left"/>
    </w:pPr>
    <w:rPr>
      <w:bCs w:val="0"/>
      <w:iCs w:val="0"/>
      <w:sz w:val="20"/>
      <w:szCs w:val="20"/>
      <w:lang w:val="lt-LT"/>
    </w:rPr>
  </w:style>
  <w:style w:type="paragraph" w:customStyle="1" w:styleId="StyleHeading1">
    <w:name w:val="Style Heading 1"/>
    <w:aliases w:val="h1 + Book Antiqua 10 pt"/>
    <w:basedOn w:val="Heading1"/>
    <w:rsid w:val="0029266B"/>
    <w:pPr>
      <w:tabs>
        <w:tab w:val="clear" w:pos="540"/>
        <w:tab w:val="num" w:pos="360"/>
      </w:tabs>
      <w:spacing w:before="120" w:after="120"/>
    </w:pPr>
    <w:rPr>
      <w:rFonts w:ascii="Book Antiqua" w:hAnsi="Book Antiqua"/>
      <w:caps/>
      <w:kern w:val="0"/>
      <w:sz w:val="24"/>
      <w:szCs w:val="24"/>
      <w:lang w:val="lt-LT"/>
    </w:rPr>
  </w:style>
  <w:style w:type="paragraph" w:customStyle="1" w:styleId="StyleHeading3BoldAutoBefore0ptAfter6pt">
    <w:name w:val="Style Heading 3 + Bold Auto Before:  0 pt After:  6 pt"/>
    <w:basedOn w:val="Heading3"/>
    <w:rsid w:val="0029266B"/>
    <w:pPr>
      <w:tabs>
        <w:tab w:val="clear" w:pos="720"/>
        <w:tab w:val="num" w:pos="360"/>
      </w:tabs>
      <w:spacing w:after="120"/>
    </w:pPr>
    <w:rPr>
      <w:color w:val="auto"/>
      <w:sz w:val="20"/>
      <w:szCs w:val="20"/>
      <w:lang w:val="lt-LT"/>
    </w:rPr>
  </w:style>
  <w:style w:type="paragraph" w:customStyle="1" w:styleId="StyleHeading12">
    <w:name w:val="Style Heading 12"/>
    <w:aliases w:val="h2 + 10 pt"/>
    <w:basedOn w:val="Heading2"/>
    <w:rsid w:val="0029266B"/>
    <w:pPr>
      <w:tabs>
        <w:tab w:val="num" w:pos="360"/>
      </w:tabs>
      <w:spacing w:before="120" w:after="120"/>
    </w:pPr>
    <w:rPr>
      <w:iCs w:val="0"/>
      <w:sz w:val="20"/>
      <w:szCs w:val="22"/>
      <w:lang w:val="lt-LT"/>
    </w:rPr>
  </w:style>
  <w:style w:type="paragraph" w:customStyle="1" w:styleId="Heading2times">
    <w:name w:val="Heading 2 _ times"/>
    <w:basedOn w:val="Heading2"/>
    <w:rsid w:val="0029266B"/>
    <w:pPr>
      <w:spacing w:before="240" w:after="60"/>
      <w:jc w:val="left"/>
    </w:pPr>
    <w:rPr>
      <w:i/>
      <w:sz w:val="28"/>
      <w:szCs w:val="28"/>
      <w:lang w:val="lt-LT" w:eastAsia="lt-LT"/>
    </w:rPr>
  </w:style>
  <w:style w:type="paragraph" w:customStyle="1" w:styleId="StandaardOpinion">
    <w:name w:val="StandaardOpinion"/>
    <w:basedOn w:val="Normal"/>
    <w:rsid w:val="0029266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jc w:val="both"/>
    </w:pPr>
    <w:rPr>
      <w:rFonts w:ascii="Verdana" w:hAnsi="Verdana"/>
      <w:sz w:val="22"/>
    </w:rPr>
  </w:style>
  <w:style w:type="paragraph" w:customStyle="1" w:styleId="NormalCentered">
    <w:name w:val="Normal Centered"/>
    <w:basedOn w:val="Normal"/>
    <w:rsid w:val="0029266B"/>
    <w:pPr>
      <w:jc w:val="center"/>
    </w:pPr>
    <w:rPr>
      <w:rFonts w:ascii="Verdana" w:hAnsi="Verdana"/>
      <w:sz w:val="16"/>
      <w:lang w:val="lt-LT"/>
    </w:rPr>
  </w:style>
  <w:style w:type="paragraph" w:customStyle="1" w:styleId="Default">
    <w:name w:val="Default"/>
    <w:rsid w:val="0029266B"/>
    <w:pPr>
      <w:widowControl w:val="0"/>
      <w:autoSpaceDE w:val="0"/>
      <w:autoSpaceDN w:val="0"/>
      <w:adjustRightInd w:val="0"/>
    </w:pPr>
    <w:rPr>
      <w:rFonts w:ascii="Times" w:hAnsi="Times" w:cs="Times"/>
      <w:color w:val="000000"/>
      <w:sz w:val="24"/>
      <w:szCs w:val="24"/>
      <w:lang w:val="en-US" w:eastAsia="en-US"/>
    </w:rPr>
  </w:style>
  <w:style w:type="paragraph" w:customStyle="1" w:styleId="CharChar25">
    <w:name w:val="Char Char25"/>
    <w:basedOn w:val="Normal"/>
    <w:uiPriority w:val="99"/>
    <w:rsid w:val="0029266B"/>
    <w:pPr>
      <w:spacing w:after="120" w:line="360" w:lineRule="auto"/>
    </w:pPr>
    <w:rPr>
      <w:rFonts w:ascii="Verdana" w:eastAsia="Batang" w:hAnsi="Verdana"/>
      <w:szCs w:val="24"/>
      <w:lang w:val="pl-PL" w:eastAsia="pl-PL"/>
    </w:rPr>
  </w:style>
  <w:style w:type="paragraph" w:customStyle="1" w:styleId="A-Poziom5">
    <w:name w:val="A - Poziom 5"/>
    <w:basedOn w:val="Normal"/>
    <w:uiPriority w:val="99"/>
    <w:rsid w:val="0029266B"/>
    <w:pPr>
      <w:spacing w:before="120"/>
      <w:ind w:left="720" w:hanging="360"/>
      <w:jc w:val="both"/>
    </w:pPr>
    <w:rPr>
      <w:rFonts w:ascii="Arial" w:hAnsi="Arial"/>
      <w:sz w:val="22"/>
      <w:lang w:val="pl-PL"/>
    </w:rPr>
  </w:style>
  <w:style w:type="character" w:customStyle="1" w:styleId="Styl9ptWyjustowanyPo6ptZnakZnak">
    <w:name w:val="Styl 9 pt Wyjustowany Po:  6 pt Znak Znak"/>
    <w:link w:val="Styl9ptWyjustowanyPo6ptZnak"/>
    <w:uiPriority w:val="99"/>
    <w:locked/>
    <w:rsid w:val="0029266B"/>
    <w:rPr>
      <w:sz w:val="22"/>
      <w:lang w:val="pl-PL" w:eastAsia="pl-PL"/>
    </w:rPr>
  </w:style>
  <w:style w:type="paragraph" w:customStyle="1" w:styleId="Styl9ptWyjustowanyPo6ptZnak">
    <w:name w:val="Styl 9 pt Wyjustowany Po:  6 pt Znak"/>
    <w:basedOn w:val="Normal"/>
    <w:link w:val="Styl9ptWyjustowanyPo6ptZnakZnak"/>
    <w:autoRedefine/>
    <w:uiPriority w:val="99"/>
    <w:rsid w:val="0029266B"/>
    <w:rPr>
      <w:sz w:val="22"/>
      <w:lang w:val="pl-PL" w:eastAsia="pl-PL"/>
    </w:rPr>
  </w:style>
  <w:style w:type="paragraph" w:customStyle="1" w:styleId="BodyText10">
    <w:name w:val="Body Text 1"/>
    <w:basedOn w:val="BodyText"/>
    <w:uiPriority w:val="99"/>
    <w:rsid w:val="0029266B"/>
    <w:rPr>
      <w:rFonts w:ascii="Times New Roman" w:hAnsi="Times New Roman"/>
      <w:sz w:val="24"/>
      <w:lang w:val="pl-PL" w:eastAsia="pl-PL"/>
    </w:rPr>
  </w:style>
  <w:style w:type="paragraph" w:customStyle="1" w:styleId="BodyText21">
    <w:name w:val="Body Text 21"/>
    <w:basedOn w:val="Normal"/>
    <w:uiPriority w:val="99"/>
    <w:rsid w:val="0029266B"/>
    <w:pPr>
      <w:widowControl w:val="0"/>
      <w:suppressAutoHyphens/>
      <w:overflowPunct w:val="0"/>
      <w:autoSpaceDE w:val="0"/>
      <w:spacing w:before="120"/>
      <w:jc w:val="both"/>
    </w:pPr>
    <w:rPr>
      <w:rFonts w:ascii="Arial" w:hAnsi="Arial"/>
      <w:b/>
      <w:sz w:val="26"/>
      <w:lang w:val="pl-PL" w:eastAsia="ar-SA"/>
    </w:rPr>
  </w:style>
  <w:style w:type="paragraph" w:customStyle="1" w:styleId="Numeric3">
    <w:name w:val="Numeric 3"/>
    <w:basedOn w:val="Normal"/>
    <w:uiPriority w:val="99"/>
    <w:rsid w:val="0029266B"/>
    <w:pPr>
      <w:tabs>
        <w:tab w:val="num" w:pos="360"/>
      </w:tabs>
      <w:spacing w:after="120" w:line="336" w:lineRule="auto"/>
      <w:ind w:left="360" w:hanging="360"/>
    </w:pPr>
    <w:rPr>
      <w:rFonts w:ascii="Arial" w:hAnsi="Arial"/>
      <w:w w:val="105"/>
      <w:kern w:val="20"/>
      <w:lang w:val="en-GB" w:eastAsia="pl-PL"/>
    </w:rPr>
  </w:style>
  <w:style w:type="paragraph" w:customStyle="1" w:styleId="ListParagraph1">
    <w:name w:val="List Paragraph1"/>
    <w:basedOn w:val="Normal"/>
    <w:qFormat/>
    <w:rsid w:val="0029266B"/>
    <w:pPr>
      <w:ind w:left="1296"/>
    </w:pPr>
    <w:rPr>
      <w:rFonts w:ascii="Verdana" w:hAnsi="Verdana"/>
      <w:sz w:val="24"/>
    </w:rPr>
  </w:style>
  <w:style w:type="paragraph" w:customStyle="1" w:styleId="HTMLPreformatted1">
    <w:name w:val="HTML Preformatted1"/>
    <w:basedOn w:val="Normal"/>
    <w:rsid w:val="0029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lt-LT" w:eastAsia="lt-LT"/>
    </w:rPr>
  </w:style>
  <w:style w:type="paragraph" w:customStyle="1" w:styleId="StyleHeading3BoldAutoBefore0ptAfter6pt8pt">
    <w:name w:val="Style Heading 3 + Bold Auto Before:  0 pt After:  6 pt + 8 pt"/>
    <w:aliases w:val="Right:  -0,06 ..."/>
    <w:basedOn w:val="Normal"/>
    <w:rsid w:val="0029266B"/>
    <w:pPr>
      <w:keepNext/>
      <w:tabs>
        <w:tab w:val="left" w:pos="900"/>
      </w:tabs>
      <w:spacing w:after="120"/>
      <w:ind w:right="-32"/>
      <w:jc w:val="both"/>
    </w:pPr>
    <w:rPr>
      <w:rFonts w:ascii="Verdana" w:hAnsi="Verdana"/>
      <w:b/>
      <w:sz w:val="16"/>
      <w:szCs w:val="16"/>
      <w:lang w:val="en-GB"/>
    </w:rPr>
  </w:style>
  <w:style w:type="character" w:customStyle="1" w:styleId="noteChar">
    <w:name w:val="note Char"/>
    <w:rsid w:val="0029266B"/>
    <w:rPr>
      <w:rFonts w:ascii="Times" w:hAnsi="Times" w:cs="Times" w:hint="default"/>
      <w:b/>
      <w:bCs w:val="0"/>
      <w:sz w:val="22"/>
      <w:lang w:val="en-GB" w:eastAsia="en-US" w:bidi="ar-SA"/>
    </w:rPr>
  </w:style>
  <w:style w:type="character" w:customStyle="1" w:styleId="CharChar">
    <w:name w:val="Char Char"/>
    <w:rsid w:val="0029266B"/>
    <w:rPr>
      <w:sz w:val="22"/>
      <w:lang w:val="en-US" w:eastAsia="en-US" w:bidi="ar-SA"/>
    </w:rPr>
  </w:style>
  <w:style w:type="character" w:customStyle="1" w:styleId="h2CharChar">
    <w:name w:val="h2 Char Char"/>
    <w:rsid w:val="0029266B"/>
    <w:rPr>
      <w:b/>
      <w:bCs w:val="0"/>
      <w:sz w:val="28"/>
      <w:lang w:val="en-US" w:eastAsia="en-US" w:bidi="ar-SA"/>
    </w:rPr>
  </w:style>
  <w:style w:type="character" w:customStyle="1" w:styleId="h1CharChar">
    <w:name w:val="h1 Char Char"/>
    <w:rsid w:val="0029266B"/>
    <w:rPr>
      <w:b/>
      <w:bCs w:val="0"/>
      <w:sz w:val="32"/>
      <w:lang w:val="en-US" w:eastAsia="en-US" w:bidi="ar-SA"/>
    </w:rPr>
  </w:style>
  <w:style w:type="character" w:customStyle="1" w:styleId="datametai">
    <w:name w:val="datametai"/>
    <w:rsid w:val="0029266B"/>
  </w:style>
  <w:style w:type="character" w:customStyle="1" w:styleId="shorttext">
    <w:name w:val="short_text"/>
    <w:rsid w:val="0029266B"/>
  </w:style>
  <w:style w:type="character" w:customStyle="1" w:styleId="DeltaViewMoveDestination">
    <w:name w:val="DeltaView Move Destination"/>
    <w:rsid w:val="0029266B"/>
    <w:rPr>
      <w:color w:val="00C000"/>
      <w:u w:val="double"/>
    </w:rPr>
  </w:style>
  <w:style w:type="character" w:customStyle="1" w:styleId="apple-converted-space">
    <w:name w:val="apple-converted-space"/>
    <w:rsid w:val="0029266B"/>
  </w:style>
  <w:style w:type="paragraph" w:customStyle="1" w:styleId="Style149">
    <w:name w:val="Style149"/>
    <w:basedOn w:val="Normal"/>
    <w:rsid w:val="002A3235"/>
    <w:pPr>
      <w:widowControl w:val="0"/>
      <w:autoSpaceDE w:val="0"/>
      <w:autoSpaceDN w:val="0"/>
      <w:adjustRightInd w:val="0"/>
      <w:spacing w:line="257" w:lineRule="exact"/>
      <w:jc w:val="both"/>
    </w:pPr>
    <w:rPr>
      <w:sz w:val="24"/>
      <w:szCs w:val="24"/>
      <w:lang w:val="lt-LT" w:eastAsia="lt-LT"/>
    </w:rPr>
  </w:style>
  <w:style w:type="paragraph" w:styleId="NormalWeb">
    <w:name w:val="Normal (Web)"/>
    <w:basedOn w:val="Normal"/>
    <w:uiPriority w:val="99"/>
    <w:unhideWhenUsed/>
    <w:rsid w:val="009C6700"/>
    <w:pPr>
      <w:spacing w:before="100" w:beforeAutospacing="1" w:after="100" w:afterAutospacing="1"/>
    </w:pPr>
    <w:rPr>
      <w:sz w:val="24"/>
      <w:szCs w:val="24"/>
      <w:lang w:val="lt-LT" w:eastAsia="lt-LT"/>
    </w:rPr>
  </w:style>
  <w:style w:type="paragraph" w:styleId="Revision">
    <w:name w:val="Revision"/>
    <w:hidden/>
    <w:uiPriority w:val="99"/>
    <w:semiHidden/>
    <w:rsid w:val="00C45E14"/>
    <w:rPr>
      <w:lang w:val="en-US" w:eastAsia="en-US"/>
    </w:rPr>
  </w:style>
  <w:style w:type="character" w:customStyle="1" w:styleId="DeltaViewDeletion">
    <w:name w:val="DeltaView Deletion"/>
    <w:rsid w:val="002628EF"/>
    <w:rPr>
      <w:strike/>
      <w:color w:val="FF0000"/>
      <w:spacing w:val="0"/>
    </w:rPr>
  </w:style>
  <w:style w:type="character" w:styleId="FollowedHyperlink">
    <w:name w:val="FollowedHyperlink"/>
    <w:semiHidden/>
    <w:unhideWhenUsed/>
    <w:rsid w:val="0022273F"/>
    <w:rPr>
      <w:color w:val="800080"/>
      <w:u w:val="single"/>
    </w:rPr>
  </w:style>
  <w:style w:type="character" w:customStyle="1" w:styleId="UnresolvedMention1">
    <w:name w:val="Unresolved Mention1"/>
    <w:uiPriority w:val="99"/>
    <w:semiHidden/>
    <w:unhideWhenUsed/>
    <w:rsid w:val="00AF34BB"/>
    <w:rPr>
      <w:color w:val="808080"/>
      <w:shd w:val="clear" w:color="auto" w:fill="E6E6E6"/>
    </w:rPr>
  </w:style>
  <w:style w:type="paragraph" w:styleId="TOC4">
    <w:name w:val="toc 4"/>
    <w:basedOn w:val="Normal"/>
    <w:next w:val="Normal"/>
    <w:autoRedefine/>
    <w:uiPriority w:val="39"/>
    <w:semiHidden/>
    <w:unhideWhenUsed/>
    <w:rsid w:val="00753C9C"/>
    <w:pPr>
      <w:ind w:left="600"/>
    </w:pPr>
  </w:style>
  <w:style w:type="paragraph" w:customStyle="1" w:styleId="DeltaViewTableBody">
    <w:name w:val="DeltaView Table Body"/>
    <w:basedOn w:val="Normal"/>
    <w:rsid w:val="00753C9C"/>
    <w:pPr>
      <w:numPr>
        <w:numId w:val="10"/>
      </w:numPr>
      <w:tabs>
        <w:tab w:val="clear" w:pos="737"/>
      </w:tabs>
      <w:autoSpaceDE w:val="0"/>
      <w:autoSpaceDN w:val="0"/>
      <w:adjustRightInd w:val="0"/>
      <w:ind w:left="0" w:firstLine="0"/>
    </w:pPr>
    <w:rPr>
      <w:rFonts w:ascii="Arial" w:hAnsi="Arial"/>
      <w:sz w:val="24"/>
      <w:szCs w:val="24"/>
    </w:rPr>
  </w:style>
  <w:style w:type="paragraph" w:customStyle="1" w:styleId="BMBullet">
    <w:name w:val="B&amp;M Bullet"/>
    <w:basedOn w:val="BMBodyText"/>
    <w:link w:val="BMBulletCharChar"/>
    <w:rsid w:val="00753C9C"/>
    <w:pPr>
      <w:numPr>
        <w:numId w:val="11"/>
      </w:numPr>
    </w:pPr>
    <w:rPr>
      <w:rFonts w:ascii="Cambria" w:eastAsia="MS Mincho" w:hAnsi="Cambria"/>
      <w:szCs w:val="20"/>
    </w:rPr>
  </w:style>
  <w:style w:type="character" w:customStyle="1" w:styleId="BMBulletCharChar">
    <w:name w:val="B&amp;M Bullet Char Char"/>
    <w:link w:val="BMBullet"/>
    <w:rsid w:val="00753C9C"/>
    <w:rPr>
      <w:rFonts w:ascii="Cambria" w:eastAsia="MS Mincho" w:hAnsi="Cambria"/>
      <w:bCs/>
      <w:noProof/>
      <w:lang w:val="en-US" w:eastAsia="en-US"/>
    </w:rPr>
  </w:style>
  <w:style w:type="character" w:customStyle="1" w:styleId="FontStyle25">
    <w:name w:val="Font Style25"/>
    <w:uiPriority w:val="99"/>
    <w:rsid w:val="007C1AD6"/>
    <w:rPr>
      <w:rFonts w:ascii="Times New Roman" w:hAnsi="Times New Roman" w:cs="Times New Roman" w:hint="default"/>
      <w:sz w:val="20"/>
      <w:szCs w:val="20"/>
    </w:rPr>
  </w:style>
  <w:style w:type="paragraph" w:customStyle="1" w:styleId="KLGIPOBody">
    <w:name w:val="KLG IPO Body"/>
    <w:uiPriority w:val="1"/>
    <w:qFormat/>
    <w:rsid w:val="00746BC0"/>
    <w:pPr>
      <w:spacing w:before="120" w:after="120" w:line="240" w:lineRule="atLeast"/>
      <w:jc w:val="both"/>
    </w:pPr>
    <w:rPr>
      <w:rFonts w:eastAsia="PMingLiU" w:cs="Segoe Script"/>
      <w:color w:val="000000"/>
      <w:szCs w:val="22"/>
      <w:lang w:eastAsia="en-US"/>
    </w:rPr>
  </w:style>
  <w:style w:type="paragraph" w:customStyle="1" w:styleId="Heading3Left0cm">
    <w:name w:val="Heading 3 + Left:  0 cm"/>
    <w:aliases w:val="Before:  6 pt + Bold + Bold + Bold + Bold + Bold + Bo..."/>
    <w:basedOn w:val="Normal"/>
    <w:link w:val="Heading3Left0cmBefore6ptBoldBoldBoldBoldBoldBoCharChar"/>
    <w:rsid w:val="005B0C9B"/>
    <w:rPr>
      <w:rFonts w:ascii="Arial" w:eastAsia="PMingLiU" w:hAnsi="Arial"/>
      <w:sz w:val="18"/>
      <w:szCs w:val="24"/>
      <w:lang w:val="lt-LT"/>
    </w:rPr>
  </w:style>
  <w:style w:type="character" w:customStyle="1" w:styleId="Heading3Left0cmBefore6ptBoldBoldBoldBoldBoldBoCharChar">
    <w:name w:val="Heading 3 + Left:  0 cm;Before:  6 pt + Bold + Bold + Bold + Bold + Bold + Bo... Char Char"/>
    <w:link w:val="Heading3Left0cm"/>
    <w:rsid w:val="005B0C9B"/>
    <w:rPr>
      <w:rFonts w:ascii="Arial" w:eastAsia="PMingLiU" w:hAnsi="Arial"/>
      <w:sz w:val="18"/>
      <w:szCs w:val="24"/>
      <w:lang w:val="lt-LT" w:eastAsia="en-US"/>
    </w:rPr>
  </w:style>
  <w:style w:type="character" w:customStyle="1" w:styleId="BodyTextChar1">
    <w:name w:val="Body Text Char1"/>
    <w:rsid w:val="00D912A5"/>
    <w:rPr>
      <w:rFonts w:ascii="Times New Roman" w:eastAsia="Times New Roman" w:hAnsi="Times New Roman" w:cs="Times New Roman"/>
      <w:color w:val="auto"/>
      <w:sz w:val="24"/>
      <w:szCs w:val="24"/>
      <w:lang w:val="sv-SE" w:eastAsia="sv-SE"/>
    </w:rPr>
  </w:style>
  <w:style w:type="character" w:customStyle="1" w:styleId="ListParagraphChar">
    <w:name w:val="List Paragraph Char"/>
    <w:aliases w:val="Red list paragraph Char"/>
    <w:basedOn w:val="DefaultParagraphFont"/>
    <w:link w:val="ListParagraph"/>
    <w:uiPriority w:val="34"/>
    <w:rsid w:val="00682D61"/>
    <w:rPr>
      <w:rFonts w:ascii="Calibri" w:hAnsi="Calibri"/>
      <w:sz w:val="22"/>
      <w:szCs w:val="22"/>
      <w:lang w:val="en-US" w:eastAsia="en-US"/>
    </w:rPr>
  </w:style>
  <w:style w:type="character" w:customStyle="1" w:styleId="UnresolvedMention2">
    <w:name w:val="Unresolved Mention2"/>
    <w:basedOn w:val="DefaultParagraphFont"/>
    <w:uiPriority w:val="99"/>
    <w:semiHidden/>
    <w:unhideWhenUsed/>
    <w:rsid w:val="008525B4"/>
    <w:rPr>
      <w:color w:val="808080"/>
      <w:shd w:val="clear" w:color="auto" w:fill="E6E6E6"/>
    </w:rPr>
  </w:style>
  <w:style w:type="character" w:customStyle="1" w:styleId="il">
    <w:name w:val="il"/>
    <w:rsid w:val="008A372C"/>
  </w:style>
  <w:style w:type="character" w:customStyle="1" w:styleId="UnresolvedMention3">
    <w:name w:val="Unresolved Mention3"/>
    <w:basedOn w:val="DefaultParagraphFont"/>
    <w:uiPriority w:val="99"/>
    <w:semiHidden/>
    <w:unhideWhenUsed/>
    <w:rsid w:val="00D5312E"/>
    <w:rPr>
      <w:color w:val="808080"/>
      <w:shd w:val="clear" w:color="auto" w:fill="E6E6E6"/>
    </w:rPr>
  </w:style>
  <w:style w:type="paragraph" w:styleId="EndnoteText">
    <w:name w:val="endnote text"/>
    <w:basedOn w:val="Normal"/>
    <w:link w:val="EndnoteTextChar"/>
    <w:uiPriority w:val="99"/>
    <w:semiHidden/>
    <w:unhideWhenUsed/>
    <w:rsid w:val="00062654"/>
  </w:style>
  <w:style w:type="character" w:customStyle="1" w:styleId="EndnoteTextChar">
    <w:name w:val="Endnote Text Char"/>
    <w:basedOn w:val="DefaultParagraphFont"/>
    <w:link w:val="EndnoteText"/>
    <w:uiPriority w:val="99"/>
    <w:semiHidden/>
    <w:rsid w:val="00062654"/>
    <w:rPr>
      <w:lang w:val="en-US" w:eastAsia="en-US"/>
    </w:rPr>
  </w:style>
  <w:style w:type="character" w:styleId="EndnoteReference">
    <w:name w:val="endnote reference"/>
    <w:basedOn w:val="DefaultParagraphFont"/>
    <w:uiPriority w:val="99"/>
    <w:semiHidden/>
    <w:unhideWhenUsed/>
    <w:rsid w:val="00062654"/>
    <w:rPr>
      <w:vertAlign w:val="superscript"/>
    </w:rPr>
  </w:style>
  <w:style w:type="table" w:customStyle="1" w:styleId="TableGridLight1">
    <w:name w:val="Table Grid Light1"/>
    <w:basedOn w:val="TableNormal"/>
    <w:uiPriority w:val="40"/>
    <w:rsid w:val="008D18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1F5D90"/>
    <w:rPr>
      <w:color w:val="808080"/>
      <w:shd w:val="clear" w:color="auto" w:fill="E6E6E6"/>
    </w:rPr>
  </w:style>
  <w:style w:type="character" w:styleId="Emphasis">
    <w:name w:val="Emphasis"/>
    <w:basedOn w:val="DefaultParagraphFont"/>
    <w:uiPriority w:val="20"/>
    <w:qFormat/>
    <w:rsid w:val="00F05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729">
      <w:bodyDiv w:val="1"/>
      <w:marLeft w:val="0"/>
      <w:marRight w:val="0"/>
      <w:marTop w:val="0"/>
      <w:marBottom w:val="0"/>
      <w:divBdr>
        <w:top w:val="none" w:sz="0" w:space="0" w:color="auto"/>
        <w:left w:val="none" w:sz="0" w:space="0" w:color="auto"/>
        <w:bottom w:val="none" w:sz="0" w:space="0" w:color="auto"/>
        <w:right w:val="none" w:sz="0" w:space="0" w:color="auto"/>
      </w:divBdr>
    </w:div>
    <w:div w:id="34963268">
      <w:bodyDiv w:val="1"/>
      <w:marLeft w:val="0"/>
      <w:marRight w:val="0"/>
      <w:marTop w:val="0"/>
      <w:marBottom w:val="0"/>
      <w:divBdr>
        <w:top w:val="none" w:sz="0" w:space="0" w:color="auto"/>
        <w:left w:val="none" w:sz="0" w:space="0" w:color="auto"/>
        <w:bottom w:val="none" w:sz="0" w:space="0" w:color="auto"/>
        <w:right w:val="none" w:sz="0" w:space="0" w:color="auto"/>
      </w:divBdr>
    </w:div>
    <w:div w:id="88043376">
      <w:bodyDiv w:val="1"/>
      <w:marLeft w:val="0"/>
      <w:marRight w:val="0"/>
      <w:marTop w:val="0"/>
      <w:marBottom w:val="0"/>
      <w:divBdr>
        <w:top w:val="none" w:sz="0" w:space="0" w:color="auto"/>
        <w:left w:val="none" w:sz="0" w:space="0" w:color="auto"/>
        <w:bottom w:val="none" w:sz="0" w:space="0" w:color="auto"/>
        <w:right w:val="none" w:sz="0" w:space="0" w:color="auto"/>
      </w:divBdr>
    </w:div>
    <w:div w:id="112292142">
      <w:bodyDiv w:val="1"/>
      <w:marLeft w:val="0"/>
      <w:marRight w:val="0"/>
      <w:marTop w:val="0"/>
      <w:marBottom w:val="0"/>
      <w:divBdr>
        <w:top w:val="none" w:sz="0" w:space="0" w:color="auto"/>
        <w:left w:val="none" w:sz="0" w:space="0" w:color="auto"/>
        <w:bottom w:val="none" w:sz="0" w:space="0" w:color="auto"/>
        <w:right w:val="none" w:sz="0" w:space="0" w:color="auto"/>
      </w:divBdr>
    </w:div>
    <w:div w:id="118690497">
      <w:bodyDiv w:val="1"/>
      <w:marLeft w:val="0"/>
      <w:marRight w:val="0"/>
      <w:marTop w:val="0"/>
      <w:marBottom w:val="0"/>
      <w:divBdr>
        <w:top w:val="none" w:sz="0" w:space="0" w:color="auto"/>
        <w:left w:val="none" w:sz="0" w:space="0" w:color="auto"/>
        <w:bottom w:val="none" w:sz="0" w:space="0" w:color="auto"/>
        <w:right w:val="none" w:sz="0" w:space="0" w:color="auto"/>
      </w:divBdr>
    </w:div>
    <w:div w:id="136338835">
      <w:bodyDiv w:val="1"/>
      <w:marLeft w:val="0"/>
      <w:marRight w:val="0"/>
      <w:marTop w:val="0"/>
      <w:marBottom w:val="0"/>
      <w:divBdr>
        <w:top w:val="none" w:sz="0" w:space="0" w:color="auto"/>
        <w:left w:val="none" w:sz="0" w:space="0" w:color="auto"/>
        <w:bottom w:val="none" w:sz="0" w:space="0" w:color="auto"/>
        <w:right w:val="none" w:sz="0" w:space="0" w:color="auto"/>
      </w:divBdr>
    </w:div>
    <w:div w:id="150492425">
      <w:bodyDiv w:val="1"/>
      <w:marLeft w:val="0"/>
      <w:marRight w:val="0"/>
      <w:marTop w:val="0"/>
      <w:marBottom w:val="0"/>
      <w:divBdr>
        <w:top w:val="none" w:sz="0" w:space="0" w:color="auto"/>
        <w:left w:val="none" w:sz="0" w:space="0" w:color="auto"/>
        <w:bottom w:val="none" w:sz="0" w:space="0" w:color="auto"/>
        <w:right w:val="none" w:sz="0" w:space="0" w:color="auto"/>
      </w:divBdr>
    </w:div>
    <w:div w:id="193349513">
      <w:bodyDiv w:val="1"/>
      <w:marLeft w:val="0"/>
      <w:marRight w:val="0"/>
      <w:marTop w:val="0"/>
      <w:marBottom w:val="0"/>
      <w:divBdr>
        <w:top w:val="none" w:sz="0" w:space="0" w:color="auto"/>
        <w:left w:val="none" w:sz="0" w:space="0" w:color="auto"/>
        <w:bottom w:val="none" w:sz="0" w:space="0" w:color="auto"/>
        <w:right w:val="none" w:sz="0" w:space="0" w:color="auto"/>
      </w:divBdr>
    </w:div>
    <w:div w:id="197550028">
      <w:bodyDiv w:val="1"/>
      <w:marLeft w:val="0"/>
      <w:marRight w:val="0"/>
      <w:marTop w:val="0"/>
      <w:marBottom w:val="0"/>
      <w:divBdr>
        <w:top w:val="none" w:sz="0" w:space="0" w:color="auto"/>
        <w:left w:val="none" w:sz="0" w:space="0" w:color="auto"/>
        <w:bottom w:val="none" w:sz="0" w:space="0" w:color="auto"/>
        <w:right w:val="none" w:sz="0" w:space="0" w:color="auto"/>
      </w:divBdr>
    </w:div>
    <w:div w:id="213128112">
      <w:bodyDiv w:val="1"/>
      <w:marLeft w:val="0"/>
      <w:marRight w:val="0"/>
      <w:marTop w:val="0"/>
      <w:marBottom w:val="0"/>
      <w:divBdr>
        <w:top w:val="none" w:sz="0" w:space="0" w:color="auto"/>
        <w:left w:val="none" w:sz="0" w:space="0" w:color="auto"/>
        <w:bottom w:val="none" w:sz="0" w:space="0" w:color="auto"/>
        <w:right w:val="none" w:sz="0" w:space="0" w:color="auto"/>
      </w:divBdr>
    </w:div>
    <w:div w:id="218178540">
      <w:bodyDiv w:val="1"/>
      <w:marLeft w:val="0"/>
      <w:marRight w:val="0"/>
      <w:marTop w:val="0"/>
      <w:marBottom w:val="0"/>
      <w:divBdr>
        <w:top w:val="none" w:sz="0" w:space="0" w:color="auto"/>
        <w:left w:val="none" w:sz="0" w:space="0" w:color="auto"/>
        <w:bottom w:val="none" w:sz="0" w:space="0" w:color="auto"/>
        <w:right w:val="none" w:sz="0" w:space="0" w:color="auto"/>
      </w:divBdr>
    </w:div>
    <w:div w:id="219051743">
      <w:bodyDiv w:val="1"/>
      <w:marLeft w:val="0"/>
      <w:marRight w:val="0"/>
      <w:marTop w:val="0"/>
      <w:marBottom w:val="0"/>
      <w:divBdr>
        <w:top w:val="none" w:sz="0" w:space="0" w:color="auto"/>
        <w:left w:val="none" w:sz="0" w:space="0" w:color="auto"/>
        <w:bottom w:val="none" w:sz="0" w:space="0" w:color="auto"/>
        <w:right w:val="none" w:sz="0" w:space="0" w:color="auto"/>
      </w:divBdr>
    </w:div>
    <w:div w:id="224268685">
      <w:bodyDiv w:val="1"/>
      <w:marLeft w:val="0"/>
      <w:marRight w:val="0"/>
      <w:marTop w:val="0"/>
      <w:marBottom w:val="0"/>
      <w:divBdr>
        <w:top w:val="none" w:sz="0" w:space="0" w:color="auto"/>
        <w:left w:val="none" w:sz="0" w:space="0" w:color="auto"/>
        <w:bottom w:val="none" w:sz="0" w:space="0" w:color="auto"/>
        <w:right w:val="none" w:sz="0" w:space="0" w:color="auto"/>
      </w:divBdr>
    </w:div>
    <w:div w:id="302662331">
      <w:bodyDiv w:val="1"/>
      <w:marLeft w:val="0"/>
      <w:marRight w:val="0"/>
      <w:marTop w:val="0"/>
      <w:marBottom w:val="0"/>
      <w:divBdr>
        <w:top w:val="none" w:sz="0" w:space="0" w:color="auto"/>
        <w:left w:val="none" w:sz="0" w:space="0" w:color="auto"/>
        <w:bottom w:val="none" w:sz="0" w:space="0" w:color="auto"/>
        <w:right w:val="none" w:sz="0" w:space="0" w:color="auto"/>
      </w:divBdr>
    </w:div>
    <w:div w:id="369234464">
      <w:bodyDiv w:val="1"/>
      <w:marLeft w:val="0"/>
      <w:marRight w:val="0"/>
      <w:marTop w:val="0"/>
      <w:marBottom w:val="0"/>
      <w:divBdr>
        <w:top w:val="none" w:sz="0" w:space="0" w:color="auto"/>
        <w:left w:val="none" w:sz="0" w:space="0" w:color="auto"/>
        <w:bottom w:val="none" w:sz="0" w:space="0" w:color="auto"/>
        <w:right w:val="none" w:sz="0" w:space="0" w:color="auto"/>
      </w:divBdr>
    </w:div>
    <w:div w:id="416369435">
      <w:bodyDiv w:val="1"/>
      <w:marLeft w:val="0"/>
      <w:marRight w:val="0"/>
      <w:marTop w:val="0"/>
      <w:marBottom w:val="0"/>
      <w:divBdr>
        <w:top w:val="none" w:sz="0" w:space="0" w:color="auto"/>
        <w:left w:val="none" w:sz="0" w:space="0" w:color="auto"/>
        <w:bottom w:val="none" w:sz="0" w:space="0" w:color="auto"/>
        <w:right w:val="none" w:sz="0" w:space="0" w:color="auto"/>
      </w:divBdr>
    </w:div>
    <w:div w:id="423570422">
      <w:bodyDiv w:val="1"/>
      <w:marLeft w:val="0"/>
      <w:marRight w:val="0"/>
      <w:marTop w:val="0"/>
      <w:marBottom w:val="0"/>
      <w:divBdr>
        <w:top w:val="none" w:sz="0" w:space="0" w:color="auto"/>
        <w:left w:val="none" w:sz="0" w:space="0" w:color="auto"/>
        <w:bottom w:val="none" w:sz="0" w:space="0" w:color="auto"/>
        <w:right w:val="none" w:sz="0" w:space="0" w:color="auto"/>
      </w:divBdr>
    </w:div>
    <w:div w:id="476142817">
      <w:bodyDiv w:val="1"/>
      <w:marLeft w:val="0"/>
      <w:marRight w:val="0"/>
      <w:marTop w:val="0"/>
      <w:marBottom w:val="0"/>
      <w:divBdr>
        <w:top w:val="none" w:sz="0" w:space="0" w:color="auto"/>
        <w:left w:val="none" w:sz="0" w:space="0" w:color="auto"/>
        <w:bottom w:val="none" w:sz="0" w:space="0" w:color="auto"/>
        <w:right w:val="none" w:sz="0" w:space="0" w:color="auto"/>
      </w:divBdr>
    </w:div>
    <w:div w:id="491257935">
      <w:bodyDiv w:val="1"/>
      <w:marLeft w:val="0"/>
      <w:marRight w:val="0"/>
      <w:marTop w:val="0"/>
      <w:marBottom w:val="0"/>
      <w:divBdr>
        <w:top w:val="none" w:sz="0" w:space="0" w:color="auto"/>
        <w:left w:val="none" w:sz="0" w:space="0" w:color="auto"/>
        <w:bottom w:val="none" w:sz="0" w:space="0" w:color="auto"/>
        <w:right w:val="none" w:sz="0" w:space="0" w:color="auto"/>
      </w:divBdr>
    </w:div>
    <w:div w:id="546259878">
      <w:bodyDiv w:val="1"/>
      <w:marLeft w:val="0"/>
      <w:marRight w:val="0"/>
      <w:marTop w:val="0"/>
      <w:marBottom w:val="0"/>
      <w:divBdr>
        <w:top w:val="none" w:sz="0" w:space="0" w:color="auto"/>
        <w:left w:val="none" w:sz="0" w:space="0" w:color="auto"/>
        <w:bottom w:val="none" w:sz="0" w:space="0" w:color="auto"/>
        <w:right w:val="none" w:sz="0" w:space="0" w:color="auto"/>
      </w:divBdr>
    </w:div>
    <w:div w:id="572200126">
      <w:bodyDiv w:val="1"/>
      <w:marLeft w:val="0"/>
      <w:marRight w:val="0"/>
      <w:marTop w:val="0"/>
      <w:marBottom w:val="0"/>
      <w:divBdr>
        <w:top w:val="none" w:sz="0" w:space="0" w:color="auto"/>
        <w:left w:val="none" w:sz="0" w:space="0" w:color="auto"/>
        <w:bottom w:val="none" w:sz="0" w:space="0" w:color="auto"/>
        <w:right w:val="none" w:sz="0" w:space="0" w:color="auto"/>
      </w:divBdr>
    </w:div>
    <w:div w:id="580407220">
      <w:bodyDiv w:val="1"/>
      <w:marLeft w:val="0"/>
      <w:marRight w:val="0"/>
      <w:marTop w:val="0"/>
      <w:marBottom w:val="0"/>
      <w:divBdr>
        <w:top w:val="none" w:sz="0" w:space="0" w:color="auto"/>
        <w:left w:val="none" w:sz="0" w:space="0" w:color="auto"/>
        <w:bottom w:val="none" w:sz="0" w:space="0" w:color="auto"/>
        <w:right w:val="none" w:sz="0" w:space="0" w:color="auto"/>
      </w:divBdr>
    </w:div>
    <w:div w:id="600375798">
      <w:bodyDiv w:val="1"/>
      <w:marLeft w:val="0"/>
      <w:marRight w:val="0"/>
      <w:marTop w:val="0"/>
      <w:marBottom w:val="0"/>
      <w:divBdr>
        <w:top w:val="none" w:sz="0" w:space="0" w:color="auto"/>
        <w:left w:val="none" w:sz="0" w:space="0" w:color="auto"/>
        <w:bottom w:val="none" w:sz="0" w:space="0" w:color="auto"/>
        <w:right w:val="none" w:sz="0" w:space="0" w:color="auto"/>
      </w:divBdr>
    </w:div>
    <w:div w:id="637298969">
      <w:bodyDiv w:val="1"/>
      <w:marLeft w:val="0"/>
      <w:marRight w:val="0"/>
      <w:marTop w:val="0"/>
      <w:marBottom w:val="0"/>
      <w:divBdr>
        <w:top w:val="none" w:sz="0" w:space="0" w:color="auto"/>
        <w:left w:val="none" w:sz="0" w:space="0" w:color="auto"/>
        <w:bottom w:val="none" w:sz="0" w:space="0" w:color="auto"/>
        <w:right w:val="none" w:sz="0" w:space="0" w:color="auto"/>
      </w:divBdr>
    </w:div>
    <w:div w:id="638262502">
      <w:bodyDiv w:val="1"/>
      <w:marLeft w:val="0"/>
      <w:marRight w:val="0"/>
      <w:marTop w:val="0"/>
      <w:marBottom w:val="0"/>
      <w:divBdr>
        <w:top w:val="none" w:sz="0" w:space="0" w:color="auto"/>
        <w:left w:val="none" w:sz="0" w:space="0" w:color="auto"/>
        <w:bottom w:val="none" w:sz="0" w:space="0" w:color="auto"/>
        <w:right w:val="none" w:sz="0" w:space="0" w:color="auto"/>
      </w:divBdr>
    </w:div>
    <w:div w:id="668027059">
      <w:bodyDiv w:val="1"/>
      <w:marLeft w:val="0"/>
      <w:marRight w:val="0"/>
      <w:marTop w:val="0"/>
      <w:marBottom w:val="0"/>
      <w:divBdr>
        <w:top w:val="none" w:sz="0" w:space="0" w:color="auto"/>
        <w:left w:val="none" w:sz="0" w:space="0" w:color="auto"/>
        <w:bottom w:val="none" w:sz="0" w:space="0" w:color="auto"/>
        <w:right w:val="none" w:sz="0" w:space="0" w:color="auto"/>
      </w:divBdr>
    </w:div>
    <w:div w:id="676034823">
      <w:bodyDiv w:val="1"/>
      <w:marLeft w:val="0"/>
      <w:marRight w:val="0"/>
      <w:marTop w:val="0"/>
      <w:marBottom w:val="0"/>
      <w:divBdr>
        <w:top w:val="none" w:sz="0" w:space="0" w:color="auto"/>
        <w:left w:val="none" w:sz="0" w:space="0" w:color="auto"/>
        <w:bottom w:val="none" w:sz="0" w:space="0" w:color="auto"/>
        <w:right w:val="none" w:sz="0" w:space="0" w:color="auto"/>
      </w:divBdr>
    </w:div>
    <w:div w:id="681860160">
      <w:bodyDiv w:val="1"/>
      <w:marLeft w:val="0"/>
      <w:marRight w:val="0"/>
      <w:marTop w:val="0"/>
      <w:marBottom w:val="0"/>
      <w:divBdr>
        <w:top w:val="none" w:sz="0" w:space="0" w:color="auto"/>
        <w:left w:val="none" w:sz="0" w:space="0" w:color="auto"/>
        <w:bottom w:val="none" w:sz="0" w:space="0" w:color="auto"/>
        <w:right w:val="none" w:sz="0" w:space="0" w:color="auto"/>
      </w:divBdr>
    </w:div>
    <w:div w:id="774717470">
      <w:bodyDiv w:val="1"/>
      <w:marLeft w:val="0"/>
      <w:marRight w:val="0"/>
      <w:marTop w:val="0"/>
      <w:marBottom w:val="0"/>
      <w:divBdr>
        <w:top w:val="none" w:sz="0" w:space="0" w:color="auto"/>
        <w:left w:val="none" w:sz="0" w:space="0" w:color="auto"/>
        <w:bottom w:val="none" w:sz="0" w:space="0" w:color="auto"/>
        <w:right w:val="none" w:sz="0" w:space="0" w:color="auto"/>
      </w:divBdr>
    </w:div>
    <w:div w:id="851410603">
      <w:bodyDiv w:val="1"/>
      <w:marLeft w:val="0"/>
      <w:marRight w:val="0"/>
      <w:marTop w:val="0"/>
      <w:marBottom w:val="0"/>
      <w:divBdr>
        <w:top w:val="none" w:sz="0" w:space="0" w:color="auto"/>
        <w:left w:val="none" w:sz="0" w:space="0" w:color="auto"/>
        <w:bottom w:val="none" w:sz="0" w:space="0" w:color="auto"/>
        <w:right w:val="none" w:sz="0" w:space="0" w:color="auto"/>
      </w:divBdr>
    </w:div>
    <w:div w:id="962468272">
      <w:bodyDiv w:val="1"/>
      <w:marLeft w:val="0"/>
      <w:marRight w:val="0"/>
      <w:marTop w:val="0"/>
      <w:marBottom w:val="0"/>
      <w:divBdr>
        <w:top w:val="none" w:sz="0" w:space="0" w:color="auto"/>
        <w:left w:val="none" w:sz="0" w:space="0" w:color="auto"/>
        <w:bottom w:val="none" w:sz="0" w:space="0" w:color="auto"/>
        <w:right w:val="none" w:sz="0" w:space="0" w:color="auto"/>
      </w:divBdr>
    </w:div>
    <w:div w:id="1020165733">
      <w:bodyDiv w:val="1"/>
      <w:marLeft w:val="0"/>
      <w:marRight w:val="0"/>
      <w:marTop w:val="0"/>
      <w:marBottom w:val="0"/>
      <w:divBdr>
        <w:top w:val="none" w:sz="0" w:space="0" w:color="auto"/>
        <w:left w:val="none" w:sz="0" w:space="0" w:color="auto"/>
        <w:bottom w:val="none" w:sz="0" w:space="0" w:color="auto"/>
        <w:right w:val="none" w:sz="0" w:space="0" w:color="auto"/>
      </w:divBdr>
    </w:div>
    <w:div w:id="1024358094">
      <w:bodyDiv w:val="1"/>
      <w:marLeft w:val="0"/>
      <w:marRight w:val="0"/>
      <w:marTop w:val="0"/>
      <w:marBottom w:val="0"/>
      <w:divBdr>
        <w:top w:val="none" w:sz="0" w:space="0" w:color="auto"/>
        <w:left w:val="none" w:sz="0" w:space="0" w:color="auto"/>
        <w:bottom w:val="none" w:sz="0" w:space="0" w:color="auto"/>
        <w:right w:val="none" w:sz="0" w:space="0" w:color="auto"/>
      </w:divBdr>
    </w:div>
    <w:div w:id="1058746312">
      <w:bodyDiv w:val="1"/>
      <w:marLeft w:val="0"/>
      <w:marRight w:val="0"/>
      <w:marTop w:val="0"/>
      <w:marBottom w:val="0"/>
      <w:divBdr>
        <w:top w:val="none" w:sz="0" w:space="0" w:color="auto"/>
        <w:left w:val="none" w:sz="0" w:space="0" w:color="auto"/>
        <w:bottom w:val="none" w:sz="0" w:space="0" w:color="auto"/>
        <w:right w:val="none" w:sz="0" w:space="0" w:color="auto"/>
      </w:divBdr>
    </w:div>
    <w:div w:id="1126313882">
      <w:bodyDiv w:val="1"/>
      <w:marLeft w:val="0"/>
      <w:marRight w:val="0"/>
      <w:marTop w:val="0"/>
      <w:marBottom w:val="0"/>
      <w:divBdr>
        <w:top w:val="none" w:sz="0" w:space="0" w:color="auto"/>
        <w:left w:val="none" w:sz="0" w:space="0" w:color="auto"/>
        <w:bottom w:val="none" w:sz="0" w:space="0" w:color="auto"/>
        <w:right w:val="none" w:sz="0" w:space="0" w:color="auto"/>
      </w:divBdr>
    </w:div>
    <w:div w:id="1132408380">
      <w:bodyDiv w:val="1"/>
      <w:marLeft w:val="0"/>
      <w:marRight w:val="0"/>
      <w:marTop w:val="0"/>
      <w:marBottom w:val="0"/>
      <w:divBdr>
        <w:top w:val="none" w:sz="0" w:space="0" w:color="auto"/>
        <w:left w:val="none" w:sz="0" w:space="0" w:color="auto"/>
        <w:bottom w:val="none" w:sz="0" w:space="0" w:color="auto"/>
        <w:right w:val="none" w:sz="0" w:space="0" w:color="auto"/>
      </w:divBdr>
    </w:div>
    <w:div w:id="1136407736">
      <w:bodyDiv w:val="1"/>
      <w:marLeft w:val="0"/>
      <w:marRight w:val="0"/>
      <w:marTop w:val="0"/>
      <w:marBottom w:val="0"/>
      <w:divBdr>
        <w:top w:val="none" w:sz="0" w:space="0" w:color="auto"/>
        <w:left w:val="none" w:sz="0" w:space="0" w:color="auto"/>
        <w:bottom w:val="none" w:sz="0" w:space="0" w:color="auto"/>
        <w:right w:val="none" w:sz="0" w:space="0" w:color="auto"/>
      </w:divBdr>
    </w:div>
    <w:div w:id="1140003597">
      <w:bodyDiv w:val="1"/>
      <w:marLeft w:val="0"/>
      <w:marRight w:val="0"/>
      <w:marTop w:val="0"/>
      <w:marBottom w:val="0"/>
      <w:divBdr>
        <w:top w:val="none" w:sz="0" w:space="0" w:color="auto"/>
        <w:left w:val="none" w:sz="0" w:space="0" w:color="auto"/>
        <w:bottom w:val="none" w:sz="0" w:space="0" w:color="auto"/>
        <w:right w:val="none" w:sz="0" w:space="0" w:color="auto"/>
      </w:divBdr>
    </w:div>
    <w:div w:id="1153329728">
      <w:bodyDiv w:val="1"/>
      <w:marLeft w:val="0"/>
      <w:marRight w:val="0"/>
      <w:marTop w:val="0"/>
      <w:marBottom w:val="0"/>
      <w:divBdr>
        <w:top w:val="none" w:sz="0" w:space="0" w:color="auto"/>
        <w:left w:val="none" w:sz="0" w:space="0" w:color="auto"/>
        <w:bottom w:val="none" w:sz="0" w:space="0" w:color="auto"/>
        <w:right w:val="none" w:sz="0" w:space="0" w:color="auto"/>
      </w:divBdr>
    </w:div>
    <w:div w:id="1162695839">
      <w:bodyDiv w:val="1"/>
      <w:marLeft w:val="0"/>
      <w:marRight w:val="0"/>
      <w:marTop w:val="0"/>
      <w:marBottom w:val="0"/>
      <w:divBdr>
        <w:top w:val="none" w:sz="0" w:space="0" w:color="auto"/>
        <w:left w:val="none" w:sz="0" w:space="0" w:color="auto"/>
        <w:bottom w:val="none" w:sz="0" w:space="0" w:color="auto"/>
        <w:right w:val="none" w:sz="0" w:space="0" w:color="auto"/>
      </w:divBdr>
    </w:div>
    <w:div w:id="1188716257">
      <w:bodyDiv w:val="1"/>
      <w:marLeft w:val="0"/>
      <w:marRight w:val="0"/>
      <w:marTop w:val="0"/>
      <w:marBottom w:val="0"/>
      <w:divBdr>
        <w:top w:val="none" w:sz="0" w:space="0" w:color="auto"/>
        <w:left w:val="none" w:sz="0" w:space="0" w:color="auto"/>
        <w:bottom w:val="none" w:sz="0" w:space="0" w:color="auto"/>
        <w:right w:val="none" w:sz="0" w:space="0" w:color="auto"/>
      </w:divBdr>
    </w:div>
    <w:div w:id="1193424383">
      <w:bodyDiv w:val="1"/>
      <w:marLeft w:val="0"/>
      <w:marRight w:val="0"/>
      <w:marTop w:val="0"/>
      <w:marBottom w:val="0"/>
      <w:divBdr>
        <w:top w:val="none" w:sz="0" w:space="0" w:color="auto"/>
        <w:left w:val="none" w:sz="0" w:space="0" w:color="auto"/>
        <w:bottom w:val="none" w:sz="0" w:space="0" w:color="auto"/>
        <w:right w:val="none" w:sz="0" w:space="0" w:color="auto"/>
      </w:divBdr>
    </w:div>
    <w:div w:id="1210923158">
      <w:bodyDiv w:val="1"/>
      <w:marLeft w:val="0"/>
      <w:marRight w:val="0"/>
      <w:marTop w:val="0"/>
      <w:marBottom w:val="0"/>
      <w:divBdr>
        <w:top w:val="none" w:sz="0" w:space="0" w:color="auto"/>
        <w:left w:val="none" w:sz="0" w:space="0" w:color="auto"/>
        <w:bottom w:val="none" w:sz="0" w:space="0" w:color="auto"/>
        <w:right w:val="none" w:sz="0" w:space="0" w:color="auto"/>
      </w:divBdr>
    </w:div>
    <w:div w:id="1228220613">
      <w:bodyDiv w:val="1"/>
      <w:marLeft w:val="0"/>
      <w:marRight w:val="0"/>
      <w:marTop w:val="0"/>
      <w:marBottom w:val="0"/>
      <w:divBdr>
        <w:top w:val="none" w:sz="0" w:space="0" w:color="auto"/>
        <w:left w:val="none" w:sz="0" w:space="0" w:color="auto"/>
        <w:bottom w:val="none" w:sz="0" w:space="0" w:color="auto"/>
        <w:right w:val="none" w:sz="0" w:space="0" w:color="auto"/>
      </w:divBdr>
      <w:divsChild>
        <w:div w:id="1008294760">
          <w:marLeft w:val="0"/>
          <w:marRight w:val="0"/>
          <w:marTop w:val="0"/>
          <w:marBottom w:val="0"/>
          <w:divBdr>
            <w:top w:val="none" w:sz="0" w:space="0" w:color="auto"/>
            <w:left w:val="none" w:sz="0" w:space="0" w:color="auto"/>
            <w:bottom w:val="none" w:sz="0" w:space="0" w:color="auto"/>
            <w:right w:val="none" w:sz="0" w:space="0" w:color="auto"/>
          </w:divBdr>
          <w:divsChild>
            <w:div w:id="295305591">
              <w:marLeft w:val="0"/>
              <w:marRight w:val="0"/>
              <w:marTop w:val="0"/>
              <w:marBottom w:val="0"/>
              <w:divBdr>
                <w:top w:val="none" w:sz="0" w:space="0" w:color="auto"/>
                <w:left w:val="none" w:sz="0" w:space="0" w:color="auto"/>
                <w:bottom w:val="none" w:sz="0" w:space="0" w:color="auto"/>
                <w:right w:val="none" w:sz="0" w:space="0" w:color="auto"/>
              </w:divBdr>
              <w:divsChild>
                <w:div w:id="285966245">
                  <w:marLeft w:val="0"/>
                  <w:marRight w:val="0"/>
                  <w:marTop w:val="0"/>
                  <w:marBottom w:val="0"/>
                  <w:divBdr>
                    <w:top w:val="none" w:sz="0" w:space="0" w:color="auto"/>
                    <w:left w:val="none" w:sz="0" w:space="0" w:color="auto"/>
                    <w:bottom w:val="none" w:sz="0" w:space="0" w:color="auto"/>
                    <w:right w:val="none" w:sz="0" w:space="0" w:color="auto"/>
                  </w:divBdr>
                  <w:divsChild>
                    <w:div w:id="24330061">
                      <w:marLeft w:val="1"/>
                      <w:marRight w:val="1"/>
                      <w:marTop w:val="0"/>
                      <w:marBottom w:val="0"/>
                      <w:divBdr>
                        <w:top w:val="none" w:sz="0" w:space="0" w:color="auto"/>
                        <w:left w:val="none" w:sz="0" w:space="0" w:color="auto"/>
                        <w:bottom w:val="none" w:sz="0" w:space="0" w:color="auto"/>
                        <w:right w:val="none" w:sz="0" w:space="0" w:color="auto"/>
                      </w:divBdr>
                      <w:divsChild>
                        <w:div w:id="648706810">
                          <w:marLeft w:val="0"/>
                          <w:marRight w:val="0"/>
                          <w:marTop w:val="0"/>
                          <w:marBottom w:val="0"/>
                          <w:divBdr>
                            <w:top w:val="none" w:sz="0" w:space="0" w:color="auto"/>
                            <w:left w:val="none" w:sz="0" w:space="0" w:color="auto"/>
                            <w:bottom w:val="none" w:sz="0" w:space="0" w:color="auto"/>
                            <w:right w:val="none" w:sz="0" w:space="0" w:color="auto"/>
                          </w:divBdr>
                          <w:divsChild>
                            <w:div w:id="1141380812">
                              <w:marLeft w:val="0"/>
                              <w:marRight w:val="0"/>
                              <w:marTop w:val="0"/>
                              <w:marBottom w:val="360"/>
                              <w:divBdr>
                                <w:top w:val="none" w:sz="0" w:space="0" w:color="auto"/>
                                <w:left w:val="none" w:sz="0" w:space="0" w:color="auto"/>
                                <w:bottom w:val="none" w:sz="0" w:space="0" w:color="auto"/>
                                <w:right w:val="none" w:sz="0" w:space="0" w:color="auto"/>
                              </w:divBdr>
                              <w:divsChild>
                                <w:div w:id="1637485864">
                                  <w:marLeft w:val="0"/>
                                  <w:marRight w:val="0"/>
                                  <w:marTop w:val="0"/>
                                  <w:marBottom w:val="0"/>
                                  <w:divBdr>
                                    <w:top w:val="none" w:sz="0" w:space="0" w:color="auto"/>
                                    <w:left w:val="none" w:sz="0" w:space="0" w:color="auto"/>
                                    <w:bottom w:val="none" w:sz="0" w:space="0" w:color="auto"/>
                                    <w:right w:val="none" w:sz="0" w:space="0" w:color="auto"/>
                                  </w:divBdr>
                                  <w:divsChild>
                                    <w:div w:id="1685790808">
                                      <w:marLeft w:val="0"/>
                                      <w:marRight w:val="0"/>
                                      <w:marTop w:val="0"/>
                                      <w:marBottom w:val="0"/>
                                      <w:divBdr>
                                        <w:top w:val="none" w:sz="0" w:space="0" w:color="auto"/>
                                        <w:left w:val="none" w:sz="0" w:space="0" w:color="auto"/>
                                        <w:bottom w:val="none" w:sz="0" w:space="0" w:color="auto"/>
                                        <w:right w:val="none" w:sz="0" w:space="0" w:color="auto"/>
                                      </w:divBdr>
                                      <w:divsChild>
                                        <w:div w:id="1001812022">
                                          <w:marLeft w:val="0"/>
                                          <w:marRight w:val="0"/>
                                          <w:marTop w:val="0"/>
                                          <w:marBottom w:val="0"/>
                                          <w:divBdr>
                                            <w:top w:val="none" w:sz="0" w:space="0" w:color="auto"/>
                                            <w:left w:val="none" w:sz="0" w:space="0" w:color="auto"/>
                                            <w:bottom w:val="none" w:sz="0" w:space="0" w:color="auto"/>
                                            <w:right w:val="none" w:sz="0" w:space="0" w:color="auto"/>
                                          </w:divBdr>
                                          <w:divsChild>
                                            <w:div w:id="1007288655">
                                              <w:marLeft w:val="0"/>
                                              <w:marRight w:val="0"/>
                                              <w:marTop w:val="0"/>
                                              <w:marBottom w:val="0"/>
                                              <w:divBdr>
                                                <w:top w:val="none" w:sz="0" w:space="0" w:color="auto"/>
                                                <w:left w:val="none" w:sz="0" w:space="0" w:color="auto"/>
                                                <w:bottom w:val="none" w:sz="0" w:space="0" w:color="auto"/>
                                                <w:right w:val="none" w:sz="0" w:space="0" w:color="auto"/>
                                              </w:divBdr>
                                              <w:divsChild>
                                                <w:div w:id="2044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922305">
      <w:bodyDiv w:val="1"/>
      <w:marLeft w:val="0"/>
      <w:marRight w:val="0"/>
      <w:marTop w:val="0"/>
      <w:marBottom w:val="0"/>
      <w:divBdr>
        <w:top w:val="none" w:sz="0" w:space="0" w:color="auto"/>
        <w:left w:val="none" w:sz="0" w:space="0" w:color="auto"/>
        <w:bottom w:val="none" w:sz="0" w:space="0" w:color="auto"/>
        <w:right w:val="none" w:sz="0" w:space="0" w:color="auto"/>
      </w:divBdr>
      <w:divsChild>
        <w:div w:id="630095606">
          <w:marLeft w:val="446"/>
          <w:marRight w:val="0"/>
          <w:marTop w:val="0"/>
          <w:marBottom w:val="0"/>
          <w:divBdr>
            <w:top w:val="none" w:sz="0" w:space="0" w:color="auto"/>
            <w:left w:val="none" w:sz="0" w:space="0" w:color="auto"/>
            <w:bottom w:val="none" w:sz="0" w:space="0" w:color="auto"/>
            <w:right w:val="none" w:sz="0" w:space="0" w:color="auto"/>
          </w:divBdr>
        </w:div>
        <w:div w:id="1748920892">
          <w:marLeft w:val="446"/>
          <w:marRight w:val="0"/>
          <w:marTop w:val="0"/>
          <w:marBottom w:val="0"/>
          <w:divBdr>
            <w:top w:val="none" w:sz="0" w:space="0" w:color="auto"/>
            <w:left w:val="none" w:sz="0" w:space="0" w:color="auto"/>
            <w:bottom w:val="none" w:sz="0" w:space="0" w:color="auto"/>
            <w:right w:val="none" w:sz="0" w:space="0" w:color="auto"/>
          </w:divBdr>
        </w:div>
        <w:div w:id="1883202845">
          <w:marLeft w:val="446"/>
          <w:marRight w:val="0"/>
          <w:marTop w:val="0"/>
          <w:marBottom w:val="0"/>
          <w:divBdr>
            <w:top w:val="none" w:sz="0" w:space="0" w:color="auto"/>
            <w:left w:val="none" w:sz="0" w:space="0" w:color="auto"/>
            <w:bottom w:val="none" w:sz="0" w:space="0" w:color="auto"/>
            <w:right w:val="none" w:sz="0" w:space="0" w:color="auto"/>
          </w:divBdr>
        </w:div>
        <w:div w:id="1910849322">
          <w:marLeft w:val="446"/>
          <w:marRight w:val="0"/>
          <w:marTop w:val="0"/>
          <w:marBottom w:val="0"/>
          <w:divBdr>
            <w:top w:val="none" w:sz="0" w:space="0" w:color="auto"/>
            <w:left w:val="none" w:sz="0" w:space="0" w:color="auto"/>
            <w:bottom w:val="none" w:sz="0" w:space="0" w:color="auto"/>
            <w:right w:val="none" w:sz="0" w:space="0" w:color="auto"/>
          </w:divBdr>
        </w:div>
        <w:div w:id="624115525">
          <w:marLeft w:val="446"/>
          <w:marRight w:val="0"/>
          <w:marTop w:val="0"/>
          <w:marBottom w:val="0"/>
          <w:divBdr>
            <w:top w:val="none" w:sz="0" w:space="0" w:color="auto"/>
            <w:left w:val="none" w:sz="0" w:space="0" w:color="auto"/>
            <w:bottom w:val="none" w:sz="0" w:space="0" w:color="auto"/>
            <w:right w:val="none" w:sz="0" w:space="0" w:color="auto"/>
          </w:divBdr>
        </w:div>
      </w:divsChild>
    </w:div>
    <w:div w:id="1273709128">
      <w:bodyDiv w:val="1"/>
      <w:marLeft w:val="0"/>
      <w:marRight w:val="0"/>
      <w:marTop w:val="0"/>
      <w:marBottom w:val="0"/>
      <w:divBdr>
        <w:top w:val="none" w:sz="0" w:space="0" w:color="auto"/>
        <w:left w:val="none" w:sz="0" w:space="0" w:color="auto"/>
        <w:bottom w:val="none" w:sz="0" w:space="0" w:color="auto"/>
        <w:right w:val="none" w:sz="0" w:space="0" w:color="auto"/>
      </w:divBdr>
    </w:div>
    <w:div w:id="1348949770">
      <w:bodyDiv w:val="1"/>
      <w:marLeft w:val="0"/>
      <w:marRight w:val="0"/>
      <w:marTop w:val="0"/>
      <w:marBottom w:val="0"/>
      <w:divBdr>
        <w:top w:val="none" w:sz="0" w:space="0" w:color="auto"/>
        <w:left w:val="none" w:sz="0" w:space="0" w:color="auto"/>
        <w:bottom w:val="none" w:sz="0" w:space="0" w:color="auto"/>
        <w:right w:val="none" w:sz="0" w:space="0" w:color="auto"/>
      </w:divBdr>
    </w:div>
    <w:div w:id="1372028561">
      <w:bodyDiv w:val="1"/>
      <w:marLeft w:val="0"/>
      <w:marRight w:val="0"/>
      <w:marTop w:val="0"/>
      <w:marBottom w:val="0"/>
      <w:divBdr>
        <w:top w:val="none" w:sz="0" w:space="0" w:color="auto"/>
        <w:left w:val="none" w:sz="0" w:space="0" w:color="auto"/>
        <w:bottom w:val="none" w:sz="0" w:space="0" w:color="auto"/>
        <w:right w:val="none" w:sz="0" w:space="0" w:color="auto"/>
      </w:divBdr>
    </w:div>
    <w:div w:id="1395351440">
      <w:bodyDiv w:val="1"/>
      <w:marLeft w:val="0"/>
      <w:marRight w:val="0"/>
      <w:marTop w:val="0"/>
      <w:marBottom w:val="0"/>
      <w:divBdr>
        <w:top w:val="none" w:sz="0" w:space="0" w:color="auto"/>
        <w:left w:val="none" w:sz="0" w:space="0" w:color="auto"/>
        <w:bottom w:val="none" w:sz="0" w:space="0" w:color="auto"/>
        <w:right w:val="none" w:sz="0" w:space="0" w:color="auto"/>
      </w:divBdr>
    </w:div>
    <w:div w:id="1403018621">
      <w:bodyDiv w:val="1"/>
      <w:marLeft w:val="0"/>
      <w:marRight w:val="0"/>
      <w:marTop w:val="0"/>
      <w:marBottom w:val="0"/>
      <w:divBdr>
        <w:top w:val="none" w:sz="0" w:space="0" w:color="auto"/>
        <w:left w:val="none" w:sz="0" w:space="0" w:color="auto"/>
        <w:bottom w:val="none" w:sz="0" w:space="0" w:color="auto"/>
        <w:right w:val="none" w:sz="0" w:space="0" w:color="auto"/>
      </w:divBdr>
    </w:div>
    <w:div w:id="1436831533">
      <w:bodyDiv w:val="1"/>
      <w:marLeft w:val="0"/>
      <w:marRight w:val="0"/>
      <w:marTop w:val="0"/>
      <w:marBottom w:val="0"/>
      <w:divBdr>
        <w:top w:val="none" w:sz="0" w:space="0" w:color="auto"/>
        <w:left w:val="none" w:sz="0" w:space="0" w:color="auto"/>
        <w:bottom w:val="none" w:sz="0" w:space="0" w:color="auto"/>
        <w:right w:val="none" w:sz="0" w:space="0" w:color="auto"/>
      </w:divBdr>
    </w:div>
    <w:div w:id="1436904548">
      <w:bodyDiv w:val="1"/>
      <w:marLeft w:val="0"/>
      <w:marRight w:val="0"/>
      <w:marTop w:val="0"/>
      <w:marBottom w:val="0"/>
      <w:divBdr>
        <w:top w:val="none" w:sz="0" w:space="0" w:color="auto"/>
        <w:left w:val="none" w:sz="0" w:space="0" w:color="auto"/>
        <w:bottom w:val="none" w:sz="0" w:space="0" w:color="auto"/>
        <w:right w:val="none" w:sz="0" w:space="0" w:color="auto"/>
      </w:divBdr>
    </w:div>
    <w:div w:id="1457483533">
      <w:bodyDiv w:val="1"/>
      <w:marLeft w:val="0"/>
      <w:marRight w:val="0"/>
      <w:marTop w:val="0"/>
      <w:marBottom w:val="0"/>
      <w:divBdr>
        <w:top w:val="none" w:sz="0" w:space="0" w:color="auto"/>
        <w:left w:val="none" w:sz="0" w:space="0" w:color="auto"/>
        <w:bottom w:val="none" w:sz="0" w:space="0" w:color="auto"/>
        <w:right w:val="none" w:sz="0" w:space="0" w:color="auto"/>
      </w:divBdr>
    </w:div>
    <w:div w:id="1530489608">
      <w:bodyDiv w:val="1"/>
      <w:marLeft w:val="0"/>
      <w:marRight w:val="0"/>
      <w:marTop w:val="0"/>
      <w:marBottom w:val="0"/>
      <w:divBdr>
        <w:top w:val="none" w:sz="0" w:space="0" w:color="auto"/>
        <w:left w:val="none" w:sz="0" w:space="0" w:color="auto"/>
        <w:bottom w:val="none" w:sz="0" w:space="0" w:color="auto"/>
        <w:right w:val="none" w:sz="0" w:space="0" w:color="auto"/>
      </w:divBdr>
    </w:div>
    <w:div w:id="1576091249">
      <w:bodyDiv w:val="1"/>
      <w:marLeft w:val="0"/>
      <w:marRight w:val="0"/>
      <w:marTop w:val="0"/>
      <w:marBottom w:val="0"/>
      <w:divBdr>
        <w:top w:val="none" w:sz="0" w:space="0" w:color="auto"/>
        <w:left w:val="none" w:sz="0" w:space="0" w:color="auto"/>
        <w:bottom w:val="none" w:sz="0" w:space="0" w:color="auto"/>
        <w:right w:val="none" w:sz="0" w:space="0" w:color="auto"/>
      </w:divBdr>
    </w:div>
    <w:div w:id="1658460197">
      <w:bodyDiv w:val="1"/>
      <w:marLeft w:val="0"/>
      <w:marRight w:val="0"/>
      <w:marTop w:val="0"/>
      <w:marBottom w:val="0"/>
      <w:divBdr>
        <w:top w:val="none" w:sz="0" w:space="0" w:color="auto"/>
        <w:left w:val="none" w:sz="0" w:space="0" w:color="auto"/>
        <w:bottom w:val="none" w:sz="0" w:space="0" w:color="auto"/>
        <w:right w:val="none" w:sz="0" w:space="0" w:color="auto"/>
      </w:divBdr>
    </w:div>
    <w:div w:id="1667052318">
      <w:bodyDiv w:val="1"/>
      <w:marLeft w:val="0"/>
      <w:marRight w:val="0"/>
      <w:marTop w:val="0"/>
      <w:marBottom w:val="0"/>
      <w:divBdr>
        <w:top w:val="none" w:sz="0" w:space="0" w:color="auto"/>
        <w:left w:val="none" w:sz="0" w:space="0" w:color="auto"/>
        <w:bottom w:val="none" w:sz="0" w:space="0" w:color="auto"/>
        <w:right w:val="none" w:sz="0" w:space="0" w:color="auto"/>
      </w:divBdr>
    </w:div>
    <w:div w:id="1694304696">
      <w:bodyDiv w:val="1"/>
      <w:marLeft w:val="0"/>
      <w:marRight w:val="0"/>
      <w:marTop w:val="0"/>
      <w:marBottom w:val="0"/>
      <w:divBdr>
        <w:top w:val="none" w:sz="0" w:space="0" w:color="auto"/>
        <w:left w:val="none" w:sz="0" w:space="0" w:color="auto"/>
        <w:bottom w:val="none" w:sz="0" w:space="0" w:color="auto"/>
        <w:right w:val="none" w:sz="0" w:space="0" w:color="auto"/>
      </w:divBdr>
    </w:div>
    <w:div w:id="1709600233">
      <w:bodyDiv w:val="1"/>
      <w:marLeft w:val="0"/>
      <w:marRight w:val="0"/>
      <w:marTop w:val="0"/>
      <w:marBottom w:val="0"/>
      <w:divBdr>
        <w:top w:val="none" w:sz="0" w:space="0" w:color="auto"/>
        <w:left w:val="none" w:sz="0" w:space="0" w:color="auto"/>
        <w:bottom w:val="none" w:sz="0" w:space="0" w:color="auto"/>
        <w:right w:val="none" w:sz="0" w:space="0" w:color="auto"/>
      </w:divBdr>
    </w:div>
    <w:div w:id="1736590618">
      <w:bodyDiv w:val="1"/>
      <w:marLeft w:val="0"/>
      <w:marRight w:val="0"/>
      <w:marTop w:val="0"/>
      <w:marBottom w:val="0"/>
      <w:divBdr>
        <w:top w:val="none" w:sz="0" w:space="0" w:color="auto"/>
        <w:left w:val="none" w:sz="0" w:space="0" w:color="auto"/>
        <w:bottom w:val="none" w:sz="0" w:space="0" w:color="auto"/>
        <w:right w:val="none" w:sz="0" w:space="0" w:color="auto"/>
      </w:divBdr>
    </w:div>
    <w:div w:id="1740445340">
      <w:bodyDiv w:val="1"/>
      <w:marLeft w:val="0"/>
      <w:marRight w:val="0"/>
      <w:marTop w:val="0"/>
      <w:marBottom w:val="0"/>
      <w:divBdr>
        <w:top w:val="none" w:sz="0" w:space="0" w:color="auto"/>
        <w:left w:val="none" w:sz="0" w:space="0" w:color="auto"/>
        <w:bottom w:val="none" w:sz="0" w:space="0" w:color="auto"/>
        <w:right w:val="none" w:sz="0" w:space="0" w:color="auto"/>
      </w:divBdr>
    </w:div>
    <w:div w:id="1748184833">
      <w:bodyDiv w:val="1"/>
      <w:marLeft w:val="0"/>
      <w:marRight w:val="0"/>
      <w:marTop w:val="0"/>
      <w:marBottom w:val="0"/>
      <w:divBdr>
        <w:top w:val="none" w:sz="0" w:space="0" w:color="auto"/>
        <w:left w:val="none" w:sz="0" w:space="0" w:color="auto"/>
        <w:bottom w:val="none" w:sz="0" w:space="0" w:color="auto"/>
        <w:right w:val="none" w:sz="0" w:space="0" w:color="auto"/>
      </w:divBdr>
    </w:div>
    <w:div w:id="1777671901">
      <w:bodyDiv w:val="1"/>
      <w:marLeft w:val="0"/>
      <w:marRight w:val="0"/>
      <w:marTop w:val="0"/>
      <w:marBottom w:val="0"/>
      <w:divBdr>
        <w:top w:val="none" w:sz="0" w:space="0" w:color="auto"/>
        <w:left w:val="none" w:sz="0" w:space="0" w:color="auto"/>
        <w:bottom w:val="none" w:sz="0" w:space="0" w:color="auto"/>
        <w:right w:val="none" w:sz="0" w:space="0" w:color="auto"/>
      </w:divBdr>
    </w:div>
    <w:div w:id="1781144994">
      <w:bodyDiv w:val="1"/>
      <w:marLeft w:val="0"/>
      <w:marRight w:val="0"/>
      <w:marTop w:val="0"/>
      <w:marBottom w:val="0"/>
      <w:divBdr>
        <w:top w:val="none" w:sz="0" w:space="0" w:color="auto"/>
        <w:left w:val="none" w:sz="0" w:space="0" w:color="auto"/>
        <w:bottom w:val="none" w:sz="0" w:space="0" w:color="auto"/>
        <w:right w:val="none" w:sz="0" w:space="0" w:color="auto"/>
      </w:divBdr>
    </w:div>
    <w:div w:id="1882205321">
      <w:bodyDiv w:val="1"/>
      <w:marLeft w:val="0"/>
      <w:marRight w:val="0"/>
      <w:marTop w:val="0"/>
      <w:marBottom w:val="0"/>
      <w:divBdr>
        <w:top w:val="none" w:sz="0" w:space="0" w:color="auto"/>
        <w:left w:val="none" w:sz="0" w:space="0" w:color="auto"/>
        <w:bottom w:val="none" w:sz="0" w:space="0" w:color="auto"/>
        <w:right w:val="none" w:sz="0" w:space="0" w:color="auto"/>
      </w:divBdr>
    </w:div>
    <w:div w:id="1886866041">
      <w:bodyDiv w:val="1"/>
      <w:marLeft w:val="0"/>
      <w:marRight w:val="0"/>
      <w:marTop w:val="0"/>
      <w:marBottom w:val="0"/>
      <w:divBdr>
        <w:top w:val="none" w:sz="0" w:space="0" w:color="auto"/>
        <w:left w:val="none" w:sz="0" w:space="0" w:color="auto"/>
        <w:bottom w:val="none" w:sz="0" w:space="0" w:color="auto"/>
        <w:right w:val="none" w:sz="0" w:space="0" w:color="auto"/>
      </w:divBdr>
    </w:div>
    <w:div w:id="1916167366">
      <w:bodyDiv w:val="1"/>
      <w:marLeft w:val="0"/>
      <w:marRight w:val="0"/>
      <w:marTop w:val="0"/>
      <w:marBottom w:val="0"/>
      <w:divBdr>
        <w:top w:val="none" w:sz="0" w:space="0" w:color="auto"/>
        <w:left w:val="none" w:sz="0" w:space="0" w:color="auto"/>
        <w:bottom w:val="none" w:sz="0" w:space="0" w:color="auto"/>
        <w:right w:val="none" w:sz="0" w:space="0" w:color="auto"/>
      </w:divBdr>
    </w:div>
    <w:div w:id="1919636957">
      <w:bodyDiv w:val="1"/>
      <w:marLeft w:val="0"/>
      <w:marRight w:val="0"/>
      <w:marTop w:val="0"/>
      <w:marBottom w:val="0"/>
      <w:divBdr>
        <w:top w:val="none" w:sz="0" w:space="0" w:color="auto"/>
        <w:left w:val="none" w:sz="0" w:space="0" w:color="auto"/>
        <w:bottom w:val="none" w:sz="0" w:space="0" w:color="auto"/>
        <w:right w:val="none" w:sz="0" w:space="0" w:color="auto"/>
      </w:divBdr>
    </w:div>
    <w:div w:id="1979187976">
      <w:bodyDiv w:val="1"/>
      <w:marLeft w:val="0"/>
      <w:marRight w:val="0"/>
      <w:marTop w:val="0"/>
      <w:marBottom w:val="0"/>
      <w:divBdr>
        <w:top w:val="none" w:sz="0" w:space="0" w:color="auto"/>
        <w:left w:val="none" w:sz="0" w:space="0" w:color="auto"/>
        <w:bottom w:val="none" w:sz="0" w:space="0" w:color="auto"/>
        <w:right w:val="none" w:sz="0" w:space="0" w:color="auto"/>
      </w:divBdr>
    </w:div>
    <w:div w:id="2011130359">
      <w:bodyDiv w:val="1"/>
      <w:marLeft w:val="0"/>
      <w:marRight w:val="0"/>
      <w:marTop w:val="0"/>
      <w:marBottom w:val="0"/>
      <w:divBdr>
        <w:top w:val="none" w:sz="0" w:space="0" w:color="auto"/>
        <w:left w:val="none" w:sz="0" w:space="0" w:color="auto"/>
        <w:bottom w:val="none" w:sz="0" w:space="0" w:color="auto"/>
        <w:right w:val="none" w:sz="0" w:space="0" w:color="auto"/>
      </w:divBdr>
    </w:div>
    <w:div w:id="2057578553">
      <w:bodyDiv w:val="1"/>
      <w:marLeft w:val="0"/>
      <w:marRight w:val="0"/>
      <w:marTop w:val="0"/>
      <w:marBottom w:val="0"/>
      <w:divBdr>
        <w:top w:val="none" w:sz="0" w:space="0" w:color="auto"/>
        <w:left w:val="none" w:sz="0" w:space="0" w:color="auto"/>
        <w:bottom w:val="none" w:sz="0" w:space="0" w:color="auto"/>
        <w:right w:val="none" w:sz="0" w:space="0" w:color="auto"/>
      </w:divBdr>
    </w:div>
    <w:div w:id="2135324172">
      <w:bodyDiv w:val="1"/>
      <w:marLeft w:val="0"/>
      <w:marRight w:val="0"/>
      <w:marTop w:val="0"/>
      <w:marBottom w:val="0"/>
      <w:divBdr>
        <w:top w:val="none" w:sz="0" w:space="0" w:color="auto"/>
        <w:left w:val="none" w:sz="0" w:space="0" w:color="auto"/>
        <w:bottom w:val="none" w:sz="0" w:space="0" w:color="auto"/>
        <w:right w:val="none" w:sz="0" w:space="0" w:color="auto"/>
      </w:divBdr>
    </w:div>
    <w:div w:id="21403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ad.lhv.eu\lhv\Estonia\!Redirect\Ivars\LHV_general\Auga\www.lb.l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ad.lhv.eu\lhv\Estonia\!Redirect\Ivars\LHV_general\Auga\www.auga.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sdaqbaltic.com/market/?pg=members&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teik_x0117_jas xmlns="$ListId:Dokumentai;">Marius Matiukas</Pateik_x0117_jas>
    <Registravimo_x0020_numeris xmlns="$ListId:Dokumentai;">2018(LB)-4472</Registravimo_x0020_numeris>
    <_x012e_mon_x0117_s_x0020_pavadinimas xmlns="$ListId:Dokumentai;">AUGA group, AB</_x012e_mon_x0117_s_x0020_pavadinimas>
    <_x012e_mon_x0117_s_x0020_kodas xmlns="$ListId:Dokumentai;">126264360</_x012e_mon_x0117_s_x0020_kodas>
    <Matomas xmlns="$ListId:Dokumentai;">false</Matoma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07C5CB6380B40BDE3C374018EC430" ma:contentTypeVersion="" ma:contentTypeDescription="Create a new document." ma:contentTypeScope="" ma:versionID="2d4027147806860213a0c11be00911bc">
  <xsd:schema xmlns:xsd="http://www.w3.org/2001/XMLSchema" xmlns:xs="http://www.w3.org/2001/XMLSchema" xmlns:p="http://schemas.microsoft.com/office/2006/metadata/properties" xmlns:ns2="$ListId:Dokumentai;" targetNamespace="http://schemas.microsoft.com/office/2006/metadata/properties" ma:root="true" ma:fieldsID="69bd4ea026402b9cdfcd3c08fb0ec0bf" ns2:_="">
    <xsd:import namespace="$ListId:Dokumentai;"/>
    <xsd:element name="properties">
      <xsd:complexType>
        <xsd:sequence>
          <xsd:element name="documentManagement">
            <xsd:complexType>
              <xsd:all>
                <xsd:element ref="ns2:Matomas" minOccurs="0"/>
                <xsd:element ref="ns2:_x012e_mon_x0117_s_x0020_pavadinimas" minOccurs="0"/>
                <xsd:element ref="ns2:_x012e_mon_x0117_s_x0020_kodas" minOccurs="0"/>
                <xsd:element ref="ns2:Pateik_x0117_jas" minOccurs="0"/>
                <xsd:element ref="ns2:Registravimo_x0020_nume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kumentai;" elementFormDefault="qualified">
    <xsd:import namespace="http://schemas.microsoft.com/office/2006/documentManagement/types"/>
    <xsd:import namespace="http://schemas.microsoft.com/office/infopath/2007/PartnerControls"/>
    <xsd:element name="Matomas" ma:index="2" nillable="true" ma:displayName="Matomas" ma:default="1" ma:description="Failas yra matomas išorės vartotojams" ma:internalName="Matomas">
      <xsd:simpleType>
        <xsd:restriction base="dms:Boolean"/>
      </xsd:simpleType>
    </xsd:element>
    <xsd:element name="_x012e_mon_x0117_s_x0020_pavadinimas" ma:index="3" nillable="true" ma:displayName="Įmonės pavadinimas" ma:internalName="_x012e_mon_x0117_s_x0020_pavadinimas">
      <xsd:simpleType>
        <xsd:restriction base="dms:Text">
          <xsd:maxLength value="255"/>
        </xsd:restriction>
      </xsd:simpleType>
    </xsd:element>
    <xsd:element name="_x012e_mon_x0117_s_x0020_kodas" ma:index="4" nillable="true" ma:displayName="Įmonės kodas" ma:indexed="true" ma:internalName="_x012e_mon_x0117_s_x0020_kodas">
      <xsd:simpleType>
        <xsd:restriction base="dms:Text">
          <xsd:maxLength value="255"/>
        </xsd:restriction>
      </xsd:simpleType>
    </xsd:element>
    <xsd:element name="Pateik_x0117_jas" ma:index="5" nillable="true" ma:displayName="Vartotojas" ma:internalName="Pateik_x0117_jas">
      <xsd:simpleType>
        <xsd:restriction base="dms:Text">
          <xsd:maxLength value="255"/>
        </xsd:restriction>
      </xsd:simpleType>
    </xsd:element>
    <xsd:element name="Registravimo_x0020_numeris" ma:index="13" nillable="true" ma:displayName="Registravimo numeris" ma:internalName="Registravimo_x0020_numer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E3C2F-26E5-4C58-B417-08CACBF88A2B}">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ListId:Dokumentai;"/>
    <ds:schemaRef ds:uri="http://www.w3.org/XML/1998/namespace"/>
  </ds:schemaRefs>
</ds:datastoreItem>
</file>

<file path=customXml/itemProps2.xml><?xml version="1.0" encoding="utf-8"?>
<ds:datastoreItem xmlns:ds="http://schemas.openxmlformats.org/officeDocument/2006/customXml" ds:itemID="{749C7958-CED3-444B-8059-4893871DB326}">
  <ds:schemaRefs>
    <ds:schemaRef ds:uri="http://schemas.microsoft.com/sharepoint/v3/contenttype/forms"/>
  </ds:schemaRefs>
</ds:datastoreItem>
</file>

<file path=customXml/itemProps3.xml><?xml version="1.0" encoding="utf-8"?>
<ds:datastoreItem xmlns:ds="http://schemas.openxmlformats.org/officeDocument/2006/customXml" ds:itemID="{344EA93A-0603-4850-9A95-4B0901A91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kumentai;"/>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8750A-5B30-4A6C-997A-8584D540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49806</Words>
  <Characters>28390</Characters>
  <Application>Microsoft Office Word</Application>
  <DocSecurity>4</DocSecurity>
  <Lines>236</Lines>
  <Paragraphs>156</Paragraphs>
  <ScaleCrop>false</ScaleCrop>
  <HeadingPairs>
    <vt:vector size="2" baseType="variant">
      <vt:variant>
        <vt:lpstr>Title</vt:lpstr>
      </vt:variant>
      <vt:variant>
        <vt:i4>1</vt:i4>
      </vt:variant>
    </vt:vector>
  </HeadingPairs>
  <TitlesOfParts>
    <vt:vector size="1" baseType="lpstr">
      <vt:lpstr>Prospekto santraukos vertimas (AUGA) (2.4).docx</vt:lpstr>
    </vt:vector>
  </TitlesOfParts>
  <Company>Lietuvos Bankas</Company>
  <LinksUpToDate>false</LinksUpToDate>
  <CharactersWithSpaces>78040</CharactersWithSpaces>
  <SharedDoc>false</SharedDoc>
  <HLinks>
    <vt:vector size="534" baseType="variant">
      <vt:variant>
        <vt:i4>7798824</vt:i4>
      </vt:variant>
      <vt:variant>
        <vt:i4>582</vt:i4>
      </vt:variant>
      <vt:variant>
        <vt:i4>0</vt:i4>
      </vt:variant>
      <vt:variant>
        <vt:i4>5</vt:i4>
      </vt:variant>
      <vt:variant>
        <vt:lpwstr>http://www.auga.lt/</vt:lpwstr>
      </vt:variant>
      <vt:variant>
        <vt:lpwstr/>
      </vt:variant>
      <vt:variant>
        <vt:i4>7798897</vt:i4>
      </vt:variant>
      <vt:variant>
        <vt:i4>579</vt:i4>
      </vt:variant>
      <vt:variant>
        <vt:i4>0</vt:i4>
      </vt:variant>
      <vt:variant>
        <vt:i4>5</vt:i4>
      </vt:variant>
      <vt:variant>
        <vt:lpwstr>http://auga.lt/</vt:lpwstr>
      </vt:variant>
      <vt:variant>
        <vt:lpwstr/>
      </vt:variant>
      <vt:variant>
        <vt:i4>6553659</vt:i4>
      </vt:variant>
      <vt:variant>
        <vt:i4>561</vt:i4>
      </vt:variant>
      <vt:variant>
        <vt:i4>0</vt:i4>
      </vt:variant>
      <vt:variant>
        <vt:i4>5</vt:i4>
      </vt:variant>
      <vt:variant>
        <vt:lpwstr>http://gpw.pl/</vt:lpwstr>
      </vt:variant>
      <vt:variant>
        <vt:lpwstr/>
      </vt:variant>
      <vt:variant>
        <vt:i4>1376266</vt:i4>
      </vt:variant>
      <vt:variant>
        <vt:i4>558</vt:i4>
      </vt:variant>
      <vt:variant>
        <vt:i4>0</vt:i4>
      </vt:variant>
      <vt:variant>
        <vt:i4>5</vt:i4>
      </vt:variant>
      <vt:variant>
        <vt:lpwstr>http://www.gpwinfostrefa.pl/</vt:lpwstr>
      </vt:variant>
      <vt:variant>
        <vt:lpwstr/>
      </vt:variant>
      <vt:variant>
        <vt:i4>6160476</vt:i4>
      </vt:variant>
      <vt:variant>
        <vt:i4>555</vt:i4>
      </vt:variant>
      <vt:variant>
        <vt:i4>0</vt:i4>
      </vt:variant>
      <vt:variant>
        <vt:i4>5</vt:i4>
      </vt:variant>
      <vt:variant>
        <vt:lpwstr>http://www.nasdaqbaltic.com/</vt:lpwstr>
      </vt:variant>
      <vt:variant>
        <vt:lpwstr/>
      </vt:variant>
      <vt:variant>
        <vt:i4>8060972</vt:i4>
      </vt:variant>
      <vt:variant>
        <vt:i4>552</vt:i4>
      </vt:variant>
      <vt:variant>
        <vt:i4>0</vt:i4>
      </vt:variant>
      <vt:variant>
        <vt:i4>5</vt:i4>
      </vt:variant>
      <vt:variant>
        <vt:lpwstr>http://www.crib.lt/</vt:lpwstr>
      </vt:variant>
      <vt:variant>
        <vt:lpwstr/>
      </vt:variant>
      <vt:variant>
        <vt:i4>7798897</vt:i4>
      </vt:variant>
      <vt:variant>
        <vt:i4>549</vt:i4>
      </vt:variant>
      <vt:variant>
        <vt:i4>0</vt:i4>
      </vt:variant>
      <vt:variant>
        <vt:i4>5</vt:i4>
      </vt:variant>
      <vt:variant>
        <vt:lpwstr>http://auga.lt/</vt:lpwstr>
      </vt:variant>
      <vt:variant>
        <vt:lpwstr/>
      </vt:variant>
      <vt:variant>
        <vt:i4>4849677</vt:i4>
      </vt:variant>
      <vt:variant>
        <vt:i4>507</vt:i4>
      </vt:variant>
      <vt:variant>
        <vt:i4>0</vt:i4>
      </vt:variant>
      <vt:variant>
        <vt:i4>5</vt:i4>
      </vt:variant>
      <vt:variant>
        <vt:lpwstr>https://ekoagros.lt/certificates</vt:lpwstr>
      </vt:variant>
      <vt:variant>
        <vt:lpwstr/>
      </vt:variant>
      <vt:variant>
        <vt:i4>7798897</vt:i4>
      </vt:variant>
      <vt:variant>
        <vt:i4>450</vt:i4>
      </vt:variant>
      <vt:variant>
        <vt:i4>0</vt:i4>
      </vt:variant>
      <vt:variant>
        <vt:i4>5</vt:i4>
      </vt:variant>
      <vt:variant>
        <vt:lpwstr>http://auga.lt/</vt:lpwstr>
      </vt:variant>
      <vt:variant>
        <vt:lpwstr/>
      </vt:variant>
      <vt:variant>
        <vt:i4>5570659</vt:i4>
      </vt:variant>
      <vt:variant>
        <vt:i4>447</vt:i4>
      </vt:variant>
      <vt:variant>
        <vt:i4>0</vt:i4>
      </vt:variant>
      <vt:variant>
        <vt:i4>5</vt:i4>
      </vt:variant>
      <vt:variant>
        <vt:lpwstr>mailto:info@auga.lt</vt:lpwstr>
      </vt:variant>
      <vt:variant>
        <vt:lpwstr/>
      </vt:variant>
      <vt:variant>
        <vt:i4>8323170</vt:i4>
      </vt:variant>
      <vt:variant>
        <vt:i4>438</vt:i4>
      </vt:variant>
      <vt:variant>
        <vt:i4>0</vt:i4>
      </vt:variant>
      <vt:variant>
        <vt:i4>5</vt:i4>
      </vt:variant>
      <vt:variant>
        <vt:lpwstr>http://eur-lex.europa.eu/Notice.do?hwords=&amp;pgs=10&amp;list=452297:cs,&amp;val=452297:cs&amp;nbl=1&amp;lang=en&amp;pos=1&amp;page=1</vt:lpwstr>
      </vt:variant>
      <vt:variant>
        <vt:lpwstr/>
      </vt:variant>
      <vt:variant>
        <vt:i4>6553659</vt:i4>
      </vt:variant>
      <vt:variant>
        <vt:i4>435</vt:i4>
      </vt:variant>
      <vt:variant>
        <vt:i4>0</vt:i4>
      </vt:variant>
      <vt:variant>
        <vt:i4>5</vt:i4>
      </vt:variant>
      <vt:variant>
        <vt:lpwstr>http://gpw.pl/</vt:lpwstr>
      </vt:variant>
      <vt:variant>
        <vt:lpwstr/>
      </vt:variant>
      <vt:variant>
        <vt:i4>1376266</vt:i4>
      </vt:variant>
      <vt:variant>
        <vt:i4>432</vt:i4>
      </vt:variant>
      <vt:variant>
        <vt:i4>0</vt:i4>
      </vt:variant>
      <vt:variant>
        <vt:i4>5</vt:i4>
      </vt:variant>
      <vt:variant>
        <vt:lpwstr>http://www.gpwinfostrefa.pl/</vt:lpwstr>
      </vt:variant>
      <vt:variant>
        <vt:lpwstr/>
      </vt:variant>
      <vt:variant>
        <vt:i4>6160476</vt:i4>
      </vt:variant>
      <vt:variant>
        <vt:i4>429</vt:i4>
      </vt:variant>
      <vt:variant>
        <vt:i4>0</vt:i4>
      </vt:variant>
      <vt:variant>
        <vt:i4>5</vt:i4>
      </vt:variant>
      <vt:variant>
        <vt:lpwstr>http://www.nasdaqbaltic.com/</vt:lpwstr>
      </vt:variant>
      <vt:variant>
        <vt:lpwstr/>
      </vt:variant>
      <vt:variant>
        <vt:i4>8060972</vt:i4>
      </vt:variant>
      <vt:variant>
        <vt:i4>426</vt:i4>
      </vt:variant>
      <vt:variant>
        <vt:i4>0</vt:i4>
      </vt:variant>
      <vt:variant>
        <vt:i4>5</vt:i4>
      </vt:variant>
      <vt:variant>
        <vt:lpwstr>http://www.crib.lt/</vt:lpwstr>
      </vt:variant>
      <vt:variant>
        <vt:lpwstr/>
      </vt:variant>
      <vt:variant>
        <vt:i4>7798897</vt:i4>
      </vt:variant>
      <vt:variant>
        <vt:i4>423</vt:i4>
      </vt:variant>
      <vt:variant>
        <vt:i4>0</vt:i4>
      </vt:variant>
      <vt:variant>
        <vt:i4>5</vt:i4>
      </vt:variant>
      <vt:variant>
        <vt:lpwstr>http://auga.lt/</vt:lpwstr>
      </vt:variant>
      <vt:variant>
        <vt:lpwstr/>
      </vt:variant>
      <vt:variant>
        <vt:i4>1441844</vt:i4>
      </vt:variant>
      <vt:variant>
        <vt:i4>416</vt:i4>
      </vt:variant>
      <vt:variant>
        <vt:i4>0</vt:i4>
      </vt:variant>
      <vt:variant>
        <vt:i4>5</vt:i4>
      </vt:variant>
      <vt:variant>
        <vt:lpwstr/>
      </vt:variant>
      <vt:variant>
        <vt:lpwstr>_Toc507165056</vt:lpwstr>
      </vt:variant>
      <vt:variant>
        <vt:i4>1441844</vt:i4>
      </vt:variant>
      <vt:variant>
        <vt:i4>410</vt:i4>
      </vt:variant>
      <vt:variant>
        <vt:i4>0</vt:i4>
      </vt:variant>
      <vt:variant>
        <vt:i4>5</vt:i4>
      </vt:variant>
      <vt:variant>
        <vt:lpwstr/>
      </vt:variant>
      <vt:variant>
        <vt:lpwstr>_Toc507165055</vt:lpwstr>
      </vt:variant>
      <vt:variant>
        <vt:i4>1441844</vt:i4>
      </vt:variant>
      <vt:variant>
        <vt:i4>404</vt:i4>
      </vt:variant>
      <vt:variant>
        <vt:i4>0</vt:i4>
      </vt:variant>
      <vt:variant>
        <vt:i4>5</vt:i4>
      </vt:variant>
      <vt:variant>
        <vt:lpwstr/>
      </vt:variant>
      <vt:variant>
        <vt:lpwstr>_Toc507165054</vt:lpwstr>
      </vt:variant>
      <vt:variant>
        <vt:i4>1441844</vt:i4>
      </vt:variant>
      <vt:variant>
        <vt:i4>398</vt:i4>
      </vt:variant>
      <vt:variant>
        <vt:i4>0</vt:i4>
      </vt:variant>
      <vt:variant>
        <vt:i4>5</vt:i4>
      </vt:variant>
      <vt:variant>
        <vt:lpwstr/>
      </vt:variant>
      <vt:variant>
        <vt:lpwstr>_Toc507165053</vt:lpwstr>
      </vt:variant>
      <vt:variant>
        <vt:i4>1441844</vt:i4>
      </vt:variant>
      <vt:variant>
        <vt:i4>392</vt:i4>
      </vt:variant>
      <vt:variant>
        <vt:i4>0</vt:i4>
      </vt:variant>
      <vt:variant>
        <vt:i4>5</vt:i4>
      </vt:variant>
      <vt:variant>
        <vt:lpwstr/>
      </vt:variant>
      <vt:variant>
        <vt:lpwstr>_Toc507165052</vt:lpwstr>
      </vt:variant>
      <vt:variant>
        <vt:i4>1441844</vt:i4>
      </vt:variant>
      <vt:variant>
        <vt:i4>386</vt:i4>
      </vt:variant>
      <vt:variant>
        <vt:i4>0</vt:i4>
      </vt:variant>
      <vt:variant>
        <vt:i4>5</vt:i4>
      </vt:variant>
      <vt:variant>
        <vt:lpwstr/>
      </vt:variant>
      <vt:variant>
        <vt:lpwstr>_Toc507165051</vt:lpwstr>
      </vt:variant>
      <vt:variant>
        <vt:i4>1441844</vt:i4>
      </vt:variant>
      <vt:variant>
        <vt:i4>380</vt:i4>
      </vt:variant>
      <vt:variant>
        <vt:i4>0</vt:i4>
      </vt:variant>
      <vt:variant>
        <vt:i4>5</vt:i4>
      </vt:variant>
      <vt:variant>
        <vt:lpwstr/>
      </vt:variant>
      <vt:variant>
        <vt:lpwstr>_Toc507165050</vt:lpwstr>
      </vt:variant>
      <vt:variant>
        <vt:i4>1507380</vt:i4>
      </vt:variant>
      <vt:variant>
        <vt:i4>374</vt:i4>
      </vt:variant>
      <vt:variant>
        <vt:i4>0</vt:i4>
      </vt:variant>
      <vt:variant>
        <vt:i4>5</vt:i4>
      </vt:variant>
      <vt:variant>
        <vt:lpwstr/>
      </vt:variant>
      <vt:variant>
        <vt:lpwstr>_Toc507165049</vt:lpwstr>
      </vt:variant>
      <vt:variant>
        <vt:i4>1507380</vt:i4>
      </vt:variant>
      <vt:variant>
        <vt:i4>368</vt:i4>
      </vt:variant>
      <vt:variant>
        <vt:i4>0</vt:i4>
      </vt:variant>
      <vt:variant>
        <vt:i4>5</vt:i4>
      </vt:variant>
      <vt:variant>
        <vt:lpwstr/>
      </vt:variant>
      <vt:variant>
        <vt:lpwstr>_Toc507165048</vt:lpwstr>
      </vt:variant>
      <vt:variant>
        <vt:i4>1507380</vt:i4>
      </vt:variant>
      <vt:variant>
        <vt:i4>362</vt:i4>
      </vt:variant>
      <vt:variant>
        <vt:i4>0</vt:i4>
      </vt:variant>
      <vt:variant>
        <vt:i4>5</vt:i4>
      </vt:variant>
      <vt:variant>
        <vt:lpwstr/>
      </vt:variant>
      <vt:variant>
        <vt:lpwstr>_Toc507165047</vt:lpwstr>
      </vt:variant>
      <vt:variant>
        <vt:i4>1507380</vt:i4>
      </vt:variant>
      <vt:variant>
        <vt:i4>356</vt:i4>
      </vt:variant>
      <vt:variant>
        <vt:i4>0</vt:i4>
      </vt:variant>
      <vt:variant>
        <vt:i4>5</vt:i4>
      </vt:variant>
      <vt:variant>
        <vt:lpwstr/>
      </vt:variant>
      <vt:variant>
        <vt:lpwstr>_Toc507165046</vt:lpwstr>
      </vt:variant>
      <vt:variant>
        <vt:i4>1507380</vt:i4>
      </vt:variant>
      <vt:variant>
        <vt:i4>350</vt:i4>
      </vt:variant>
      <vt:variant>
        <vt:i4>0</vt:i4>
      </vt:variant>
      <vt:variant>
        <vt:i4>5</vt:i4>
      </vt:variant>
      <vt:variant>
        <vt:lpwstr/>
      </vt:variant>
      <vt:variant>
        <vt:lpwstr>_Toc507165045</vt:lpwstr>
      </vt:variant>
      <vt:variant>
        <vt:i4>1507380</vt:i4>
      </vt:variant>
      <vt:variant>
        <vt:i4>344</vt:i4>
      </vt:variant>
      <vt:variant>
        <vt:i4>0</vt:i4>
      </vt:variant>
      <vt:variant>
        <vt:i4>5</vt:i4>
      </vt:variant>
      <vt:variant>
        <vt:lpwstr/>
      </vt:variant>
      <vt:variant>
        <vt:lpwstr>_Toc507165044</vt:lpwstr>
      </vt:variant>
      <vt:variant>
        <vt:i4>1507380</vt:i4>
      </vt:variant>
      <vt:variant>
        <vt:i4>338</vt:i4>
      </vt:variant>
      <vt:variant>
        <vt:i4>0</vt:i4>
      </vt:variant>
      <vt:variant>
        <vt:i4>5</vt:i4>
      </vt:variant>
      <vt:variant>
        <vt:lpwstr/>
      </vt:variant>
      <vt:variant>
        <vt:lpwstr>_Toc507165043</vt:lpwstr>
      </vt:variant>
      <vt:variant>
        <vt:i4>1507380</vt:i4>
      </vt:variant>
      <vt:variant>
        <vt:i4>332</vt:i4>
      </vt:variant>
      <vt:variant>
        <vt:i4>0</vt:i4>
      </vt:variant>
      <vt:variant>
        <vt:i4>5</vt:i4>
      </vt:variant>
      <vt:variant>
        <vt:lpwstr/>
      </vt:variant>
      <vt:variant>
        <vt:lpwstr>_Toc507165042</vt:lpwstr>
      </vt:variant>
      <vt:variant>
        <vt:i4>1507380</vt:i4>
      </vt:variant>
      <vt:variant>
        <vt:i4>326</vt:i4>
      </vt:variant>
      <vt:variant>
        <vt:i4>0</vt:i4>
      </vt:variant>
      <vt:variant>
        <vt:i4>5</vt:i4>
      </vt:variant>
      <vt:variant>
        <vt:lpwstr/>
      </vt:variant>
      <vt:variant>
        <vt:lpwstr>_Toc507165041</vt:lpwstr>
      </vt:variant>
      <vt:variant>
        <vt:i4>1507380</vt:i4>
      </vt:variant>
      <vt:variant>
        <vt:i4>320</vt:i4>
      </vt:variant>
      <vt:variant>
        <vt:i4>0</vt:i4>
      </vt:variant>
      <vt:variant>
        <vt:i4>5</vt:i4>
      </vt:variant>
      <vt:variant>
        <vt:lpwstr/>
      </vt:variant>
      <vt:variant>
        <vt:lpwstr>_Toc507165040</vt:lpwstr>
      </vt:variant>
      <vt:variant>
        <vt:i4>1048628</vt:i4>
      </vt:variant>
      <vt:variant>
        <vt:i4>314</vt:i4>
      </vt:variant>
      <vt:variant>
        <vt:i4>0</vt:i4>
      </vt:variant>
      <vt:variant>
        <vt:i4>5</vt:i4>
      </vt:variant>
      <vt:variant>
        <vt:lpwstr/>
      </vt:variant>
      <vt:variant>
        <vt:lpwstr>_Toc507165039</vt:lpwstr>
      </vt:variant>
      <vt:variant>
        <vt:i4>1048628</vt:i4>
      </vt:variant>
      <vt:variant>
        <vt:i4>308</vt:i4>
      </vt:variant>
      <vt:variant>
        <vt:i4>0</vt:i4>
      </vt:variant>
      <vt:variant>
        <vt:i4>5</vt:i4>
      </vt:variant>
      <vt:variant>
        <vt:lpwstr/>
      </vt:variant>
      <vt:variant>
        <vt:lpwstr>_Toc507165038</vt:lpwstr>
      </vt:variant>
      <vt:variant>
        <vt:i4>1048628</vt:i4>
      </vt:variant>
      <vt:variant>
        <vt:i4>302</vt:i4>
      </vt:variant>
      <vt:variant>
        <vt:i4>0</vt:i4>
      </vt:variant>
      <vt:variant>
        <vt:i4>5</vt:i4>
      </vt:variant>
      <vt:variant>
        <vt:lpwstr/>
      </vt:variant>
      <vt:variant>
        <vt:lpwstr>_Toc507165037</vt:lpwstr>
      </vt:variant>
      <vt:variant>
        <vt:i4>1048628</vt:i4>
      </vt:variant>
      <vt:variant>
        <vt:i4>296</vt:i4>
      </vt:variant>
      <vt:variant>
        <vt:i4>0</vt:i4>
      </vt:variant>
      <vt:variant>
        <vt:i4>5</vt:i4>
      </vt:variant>
      <vt:variant>
        <vt:lpwstr/>
      </vt:variant>
      <vt:variant>
        <vt:lpwstr>_Toc507165036</vt:lpwstr>
      </vt:variant>
      <vt:variant>
        <vt:i4>1048628</vt:i4>
      </vt:variant>
      <vt:variant>
        <vt:i4>290</vt:i4>
      </vt:variant>
      <vt:variant>
        <vt:i4>0</vt:i4>
      </vt:variant>
      <vt:variant>
        <vt:i4>5</vt:i4>
      </vt:variant>
      <vt:variant>
        <vt:lpwstr/>
      </vt:variant>
      <vt:variant>
        <vt:lpwstr>_Toc507165035</vt:lpwstr>
      </vt:variant>
      <vt:variant>
        <vt:i4>1048628</vt:i4>
      </vt:variant>
      <vt:variant>
        <vt:i4>284</vt:i4>
      </vt:variant>
      <vt:variant>
        <vt:i4>0</vt:i4>
      </vt:variant>
      <vt:variant>
        <vt:i4>5</vt:i4>
      </vt:variant>
      <vt:variant>
        <vt:lpwstr/>
      </vt:variant>
      <vt:variant>
        <vt:lpwstr>_Toc507165034</vt:lpwstr>
      </vt:variant>
      <vt:variant>
        <vt:i4>1048628</vt:i4>
      </vt:variant>
      <vt:variant>
        <vt:i4>278</vt:i4>
      </vt:variant>
      <vt:variant>
        <vt:i4>0</vt:i4>
      </vt:variant>
      <vt:variant>
        <vt:i4>5</vt:i4>
      </vt:variant>
      <vt:variant>
        <vt:lpwstr/>
      </vt:variant>
      <vt:variant>
        <vt:lpwstr>_Toc507165033</vt:lpwstr>
      </vt:variant>
      <vt:variant>
        <vt:i4>1048628</vt:i4>
      </vt:variant>
      <vt:variant>
        <vt:i4>272</vt:i4>
      </vt:variant>
      <vt:variant>
        <vt:i4>0</vt:i4>
      </vt:variant>
      <vt:variant>
        <vt:i4>5</vt:i4>
      </vt:variant>
      <vt:variant>
        <vt:lpwstr/>
      </vt:variant>
      <vt:variant>
        <vt:lpwstr>_Toc507165032</vt:lpwstr>
      </vt:variant>
      <vt:variant>
        <vt:i4>1048628</vt:i4>
      </vt:variant>
      <vt:variant>
        <vt:i4>266</vt:i4>
      </vt:variant>
      <vt:variant>
        <vt:i4>0</vt:i4>
      </vt:variant>
      <vt:variant>
        <vt:i4>5</vt:i4>
      </vt:variant>
      <vt:variant>
        <vt:lpwstr/>
      </vt:variant>
      <vt:variant>
        <vt:lpwstr>_Toc507165031</vt:lpwstr>
      </vt:variant>
      <vt:variant>
        <vt:i4>1048628</vt:i4>
      </vt:variant>
      <vt:variant>
        <vt:i4>260</vt:i4>
      </vt:variant>
      <vt:variant>
        <vt:i4>0</vt:i4>
      </vt:variant>
      <vt:variant>
        <vt:i4>5</vt:i4>
      </vt:variant>
      <vt:variant>
        <vt:lpwstr/>
      </vt:variant>
      <vt:variant>
        <vt:lpwstr>_Toc507165030</vt:lpwstr>
      </vt:variant>
      <vt:variant>
        <vt:i4>1114164</vt:i4>
      </vt:variant>
      <vt:variant>
        <vt:i4>254</vt:i4>
      </vt:variant>
      <vt:variant>
        <vt:i4>0</vt:i4>
      </vt:variant>
      <vt:variant>
        <vt:i4>5</vt:i4>
      </vt:variant>
      <vt:variant>
        <vt:lpwstr/>
      </vt:variant>
      <vt:variant>
        <vt:lpwstr>_Toc507165029</vt:lpwstr>
      </vt:variant>
      <vt:variant>
        <vt:i4>1114164</vt:i4>
      </vt:variant>
      <vt:variant>
        <vt:i4>248</vt:i4>
      </vt:variant>
      <vt:variant>
        <vt:i4>0</vt:i4>
      </vt:variant>
      <vt:variant>
        <vt:i4>5</vt:i4>
      </vt:variant>
      <vt:variant>
        <vt:lpwstr/>
      </vt:variant>
      <vt:variant>
        <vt:lpwstr>_Toc507165028</vt:lpwstr>
      </vt:variant>
      <vt:variant>
        <vt:i4>1114164</vt:i4>
      </vt:variant>
      <vt:variant>
        <vt:i4>242</vt:i4>
      </vt:variant>
      <vt:variant>
        <vt:i4>0</vt:i4>
      </vt:variant>
      <vt:variant>
        <vt:i4>5</vt:i4>
      </vt:variant>
      <vt:variant>
        <vt:lpwstr/>
      </vt:variant>
      <vt:variant>
        <vt:lpwstr>_Toc507165027</vt:lpwstr>
      </vt:variant>
      <vt:variant>
        <vt:i4>1114164</vt:i4>
      </vt:variant>
      <vt:variant>
        <vt:i4>236</vt:i4>
      </vt:variant>
      <vt:variant>
        <vt:i4>0</vt:i4>
      </vt:variant>
      <vt:variant>
        <vt:i4>5</vt:i4>
      </vt:variant>
      <vt:variant>
        <vt:lpwstr/>
      </vt:variant>
      <vt:variant>
        <vt:lpwstr>_Toc507165026</vt:lpwstr>
      </vt:variant>
      <vt:variant>
        <vt:i4>1114164</vt:i4>
      </vt:variant>
      <vt:variant>
        <vt:i4>230</vt:i4>
      </vt:variant>
      <vt:variant>
        <vt:i4>0</vt:i4>
      </vt:variant>
      <vt:variant>
        <vt:i4>5</vt:i4>
      </vt:variant>
      <vt:variant>
        <vt:lpwstr/>
      </vt:variant>
      <vt:variant>
        <vt:lpwstr>_Toc507165025</vt:lpwstr>
      </vt:variant>
      <vt:variant>
        <vt:i4>1114164</vt:i4>
      </vt:variant>
      <vt:variant>
        <vt:i4>224</vt:i4>
      </vt:variant>
      <vt:variant>
        <vt:i4>0</vt:i4>
      </vt:variant>
      <vt:variant>
        <vt:i4>5</vt:i4>
      </vt:variant>
      <vt:variant>
        <vt:lpwstr/>
      </vt:variant>
      <vt:variant>
        <vt:lpwstr>_Toc507165024</vt:lpwstr>
      </vt:variant>
      <vt:variant>
        <vt:i4>1114164</vt:i4>
      </vt:variant>
      <vt:variant>
        <vt:i4>218</vt:i4>
      </vt:variant>
      <vt:variant>
        <vt:i4>0</vt:i4>
      </vt:variant>
      <vt:variant>
        <vt:i4>5</vt:i4>
      </vt:variant>
      <vt:variant>
        <vt:lpwstr/>
      </vt:variant>
      <vt:variant>
        <vt:lpwstr>_Toc507165023</vt:lpwstr>
      </vt:variant>
      <vt:variant>
        <vt:i4>1114164</vt:i4>
      </vt:variant>
      <vt:variant>
        <vt:i4>212</vt:i4>
      </vt:variant>
      <vt:variant>
        <vt:i4>0</vt:i4>
      </vt:variant>
      <vt:variant>
        <vt:i4>5</vt:i4>
      </vt:variant>
      <vt:variant>
        <vt:lpwstr/>
      </vt:variant>
      <vt:variant>
        <vt:lpwstr>_Toc507165022</vt:lpwstr>
      </vt:variant>
      <vt:variant>
        <vt:i4>1114164</vt:i4>
      </vt:variant>
      <vt:variant>
        <vt:i4>206</vt:i4>
      </vt:variant>
      <vt:variant>
        <vt:i4>0</vt:i4>
      </vt:variant>
      <vt:variant>
        <vt:i4>5</vt:i4>
      </vt:variant>
      <vt:variant>
        <vt:lpwstr/>
      </vt:variant>
      <vt:variant>
        <vt:lpwstr>_Toc507165021</vt:lpwstr>
      </vt:variant>
      <vt:variant>
        <vt:i4>1114164</vt:i4>
      </vt:variant>
      <vt:variant>
        <vt:i4>200</vt:i4>
      </vt:variant>
      <vt:variant>
        <vt:i4>0</vt:i4>
      </vt:variant>
      <vt:variant>
        <vt:i4>5</vt:i4>
      </vt:variant>
      <vt:variant>
        <vt:lpwstr/>
      </vt:variant>
      <vt:variant>
        <vt:lpwstr>_Toc507165020</vt:lpwstr>
      </vt:variant>
      <vt:variant>
        <vt:i4>1179700</vt:i4>
      </vt:variant>
      <vt:variant>
        <vt:i4>194</vt:i4>
      </vt:variant>
      <vt:variant>
        <vt:i4>0</vt:i4>
      </vt:variant>
      <vt:variant>
        <vt:i4>5</vt:i4>
      </vt:variant>
      <vt:variant>
        <vt:lpwstr/>
      </vt:variant>
      <vt:variant>
        <vt:lpwstr>_Toc507165019</vt:lpwstr>
      </vt:variant>
      <vt:variant>
        <vt:i4>1179700</vt:i4>
      </vt:variant>
      <vt:variant>
        <vt:i4>188</vt:i4>
      </vt:variant>
      <vt:variant>
        <vt:i4>0</vt:i4>
      </vt:variant>
      <vt:variant>
        <vt:i4>5</vt:i4>
      </vt:variant>
      <vt:variant>
        <vt:lpwstr/>
      </vt:variant>
      <vt:variant>
        <vt:lpwstr>_Toc507165018</vt:lpwstr>
      </vt:variant>
      <vt:variant>
        <vt:i4>1179700</vt:i4>
      </vt:variant>
      <vt:variant>
        <vt:i4>182</vt:i4>
      </vt:variant>
      <vt:variant>
        <vt:i4>0</vt:i4>
      </vt:variant>
      <vt:variant>
        <vt:i4>5</vt:i4>
      </vt:variant>
      <vt:variant>
        <vt:lpwstr/>
      </vt:variant>
      <vt:variant>
        <vt:lpwstr>_Toc507165017</vt:lpwstr>
      </vt:variant>
      <vt:variant>
        <vt:i4>1179700</vt:i4>
      </vt:variant>
      <vt:variant>
        <vt:i4>176</vt:i4>
      </vt:variant>
      <vt:variant>
        <vt:i4>0</vt:i4>
      </vt:variant>
      <vt:variant>
        <vt:i4>5</vt:i4>
      </vt:variant>
      <vt:variant>
        <vt:lpwstr/>
      </vt:variant>
      <vt:variant>
        <vt:lpwstr>_Toc507165016</vt:lpwstr>
      </vt:variant>
      <vt:variant>
        <vt:i4>1179700</vt:i4>
      </vt:variant>
      <vt:variant>
        <vt:i4>170</vt:i4>
      </vt:variant>
      <vt:variant>
        <vt:i4>0</vt:i4>
      </vt:variant>
      <vt:variant>
        <vt:i4>5</vt:i4>
      </vt:variant>
      <vt:variant>
        <vt:lpwstr/>
      </vt:variant>
      <vt:variant>
        <vt:lpwstr>_Toc507165015</vt:lpwstr>
      </vt:variant>
      <vt:variant>
        <vt:i4>1179700</vt:i4>
      </vt:variant>
      <vt:variant>
        <vt:i4>164</vt:i4>
      </vt:variant>
      <vt:variant>
        <vt:i4>0</vt:i4>
      </vt:variant>
      <vt:variant>
        <vt:i4>5</vt:i4>
      </vt:variant>
      <vt:variant>
        <vt:lpwstr/>
      </vt:variant>
      <vt:variant>
        <vt:lpwstr>_Toc507165014</vt:lpwstr>
      </vt:variant>
      <vt:variant>
        <vt:i4>1179700</vt:i4>
      </vt:variant>
      <vt:variant>
        <vt:i4>158</vt:i4>
      </vt:variant>
      <vt:variant>
        <vt:i4>0</vt:i4>
      </vt:variant>
      <vt:variant>
        <vt:i4>5</vt:i4>
      </vt:variant>
      <vt:variant>
        <vt:lpwstr/>
      </vt:variant>
      <vt:variant>
        <vt:lpwstr>_Toc507165013</vt:lpwstr>
      </vt:variant>
      <vt:variant>
        <vt:i4>1179700</vt:i4>
      </vt:variant>
      <vt:variant>
        <vt:i4>152</vt:i4>
      </vt:variant>
      <vt:variant>
        <vt:i4>0</vt:i4>
      </vt:variant>
      <vt:variant>
        <vt:i4>5</vt:i4>
      </vt:variant>
      <vt:variant>
        <vt:lpwstr/>
      </vt:variant>
      <vt:variant>
        <vt:lpwstr>_Toc507165012</vt:lpwstr>
      </vt:variant>
      <vt:variant>
        <vt:i4>1179700</vt:i4>
      </vt:variant>
      <vt:variant>
        <vt:i4>146</vt:i4>
      </vt:variant>
      <vt:variant>
        <vt:i4>0</vt:i4>
      </vt:variant>
      <vt:variant>
        <vt:i4>5</vt:i4>
      </vt:variant>
      <vt:variant>
        <vt:lpwstr/>
      </vt:variant>
      <vt:variant>
        <vt:lpwstr>_Toc507165011</vt:lpwstr>
      </vt:variant>
      <vt:variant>
        <vt:i4>1179700</vt:i4>
      </vt:variant>
      <vt:variant>
        <vt:i4>140</vt:i4>
      </vt:variant>
      <vt:variant>
        <vt:i4>0</vt:i4>
      </vt:variant>
      <vt:variant>
        <vt:i4>5</vt:i4>
      </vt:variant>
      <vt:variant>
        <vt:lpwstr/>
      </vt:variant>
      <vt:variant>
        <vt:lpwstr>_Toc507165010</vt:lpwstr>
      </vt:variant>
      <vt:variant>
        <vt:i4>1245236</vt:i4>
      </vt:variant>
      <vt:variant>
        <vt:i4>134</vt:i4>
      </vt:variant>
      <vt:variant>
        <vt:i4>0</vt:i4>
      </vt:variant>
      <vt:variant>
        <vt:i4>5</vt:i4>
      </vt:variant>
      <vt:variant>
        <vt:lpwstr/>
      </vt:variant>
      <vt:variant>
        <vt:lpwstr>_Toc507165009</vt:lpwstr>
      </vt:variant>
      <vt:variant>
        <vt:i4>1245236</vt:i4>
      </vt:variant>
      <vt:variant>
        <vt:i4>128</vt:i4>
      </vt:variant>
      <vt:variant>
        <vt:i4>0</vt:i4>
      </vt:variant>
      <vt:variant>
        <vt:i4>5</vt:i4>
      </vt:variant>
      <vt:variant>
        <vt:lpwstr/>
      </vt:variant>
      <vt:variant>
        <vt:lpwstr>_Toc507165008</vt:lpwstr>
      </vt:variant>
      <vt:variant>
        <vt:i4>1245236</vt:i4>
      </vt:variant>
      <vt:variant>
        <vt:i4>122</vt:i4>
      </vt:variant>
      <vt:variant>
        <vt:i4>0</vt:i4>
      </vt:variant>
      <vt:variant>
        <vt:i4>5</vt:i4>
      </vt:variant>
      <vt:variant>
        <vt:lpwstr/>
      </vt:variant>
      <vt:variant>
        <vt:lpwstr>_Toc507165007</vt:lpwstr>
      </vt:variant>
      <vt:variant>
        <vt:i4>1245236</vt:i4>
      </vt:variant>
      <vt:variant>
        <vt:i4>116</vt:i4>
      </vt:variant>
      <vt:variant>
        <vt:i4>0</vt:i4>
      </vt:variant>
      <vt:variant>
        <vt:i4>5</vt:i4>
      </vt:variant>
      <vt:variant>
        <vt:lpwstr/>
      </vt:variant>
      <vt:variant>
        <vt:lpwstr>_Toc507165006</vt:lpwstr>
      </vt:variant>
      <vt:variant>
        <vt:i4>1245236</vt:i4>
      </vt:variant>
      <vt:variant>
        <vt:i4>110</vt:i4>
      </vt:variant>
      <vt:variant>
        <vt:i4>0</vt:i4>
      </vt:variant>
      <vt:variant>
        <vt:i4>5</vt:i4>
      </vt:variant>
      <vt:variant>
        <vt:lpwstr/>
      </vt:variant>
      <vt:variant>
        <vt:lpwstr>_Toc507165005</vt:lpwstr>
      </vt:variant>
      <vt:variant>
        <vt:i4>1245236</vt:i4>
      </vt:variant>
      <vt:variant>
        <vt:i4>104</vt:i4>
      </vt:variant>
      <vt:variant>
        <vt:i4>0</vt:i4>
      </vt:variant>
      <vt:variant>
        <vt:i4>5</vt:i4>
      </vt:variant>
      <vt:variant>
        <vt:lpwstr/>
      </vt:variant>
      <vt:variant>
        <vt:lpwstr>_Toc507165004</vt:lpwstr>
      </vt:variant>
      <vt:variant>
        <vt:i4>1245236</vt:i4>
      </vt:variant>
      <vt:variant>
        <vt:i4>98</vt:i4>
      </vt:variant>
      <vt:variant>
        <vt:i4>0</vt:i4>
      </vt:variant>
      <vt:variant>
        <vt:i4>5</vt:i4>
      </vt:variant>
      <vt:variant>
        <vt:lpwstr/>
      </vt:variant>
      <vt:variant>
        <vt:lpwstr>_Toc507165003</vt:lpwstr>
      </vt:variant>
      <vt:variant>
        <vt:i4>1245236</vt:i4>
      </vt:variant>
      <vt:variant>
        <vt:i4>92</vt:i4>
      </vt:variant>
      <vt:variant>
        <vt:i4>0</vt:i4>
      </vt:variant>
      <vt:variant>
        <vt:i4>5</vt:i4>
      </vt:variant>
      <vt:variant>
        <vt:lpwstr/>
      </vt:variant>
      <vt:variant>
        <vt:lpwstr>_Toc507165002</vt:lpwstr>
      </vt:variant>
      <vt:variant>
        <vt:i4>1245236</vt:i4>
      </vt:variant>
      <vt:variant>
        <vt:i4>86</vt:i4>
      </vt:variant>
      <vt:variant>
        <vt:i4>0</vt:i4>
      </vt:variant>
      <vt:variant>
        <vt:i4>5</vt:i4>
      </vt:variant>
      <vt:variant>
        <vt:lpwstr/>
      </vt:variant>
      <vt:variant>
        <vt:lpwstr>_Toc507165001</vt:lpwstr>
      </vt:variant>
      <vt:variant>
        <vt:i4>1245236</vt:i4>
      </vt:variant>
      <vt:variant>
        <vt:i4>80</vt:i4>
      </vt:variant>
      <vt:variant>
        <vt:i4>0</vt:i4>
      </vt:variant>
      <vt:variant>
        <vt:i4>5</vt:i4>
      </vt:variant>
      <vt:variant>
        <vt:lpwstr/>
      </vt:variant>
      <vt:variant>
        <vt:lpwstr>_Toc507165000</vt:lpwstr>
      </vt:variant>
      <vt:variant>
        <vt:i4>1769533</vt:i4>
      </vt:variant>
      <vt:variant>
        <vt:i4>74</vt:i4>
      </vt:variant>
      <vt:variant>
        <vt:i4>0</vt:i4>
      </vt:variant>
      <vt:variant>
        <vt:i4>5</vt:i4>
      </vt:variant>
      <vt:variant>
        <vt:lpwstr/>
      </vt:variant>
      <vt:variant>
        <vt:lpwstr>_Toc507164999</vt:lpwstr>
      </vt:variant>
      <vt:variant>
        <vt:i4>1769533</vt:i4>
      </vt:variant>
      <vt:variant>
        <vt:i4>68</vt:i4>
      </vt:variant>
      <vt:variant>
        <vt:i4>0</vt:i4>
      </vt:variant>
      <vt:variant>
        <vt:i4>5</vt:i4>
      </vt:variant>
      <vt:variant>
        <vt:lpwstr/>
      </vt:variant>
      <vt:variant>
        <vt:lpwstr>_Toc507164998</vt:lpwstr>
      </vt:variant>
      <vt:variant>
        <vt:i4>1769533</vt:i4>
      </vt:variant>
      <vt:variant>
        <vt:i4>62</vt:i4>
      </vt:variant>
      <vt:variant>
        <vt:i4>0</vt:i4>
      </vt:variant>
      <vt:variant>
        <vt:i4>5</vt:i4>
      </vt:variant>
      <vt:variant>
        <vt:lpwstr/>
      </vt:variant>
      <vt:variant>
        <vt:lpwstr>_Toc507164997</vt:lpwstr>
      </vt:variant>
      <vt:variant>
        <vt:i4>1769533</vt:i4>
      </vt:variant>
      <vt:variant>
        <vt:i4>56</vt:i4>
      </vt:variant>
      <vt:variant>
        <vt:i4>0</vt:i4>
      </vt:variant>
      <vt:variant>
        <vt:i4>5</vt:i4>
      </vt:variant>
      <vt:variant>
        <vt:lpwstr/>
      </vt:variant>
      <vt:variant>
        <vt:lpwstr>_Toc507164996</vt:lpwstr>
      </vt:variant>
      <vt:variant>
        <vt:i4>1769533</vt:i4>
      </vt:variant>
      <vt:variant>
        <vt:i4>50</vt:i4>
      </vt:variant>
      <vt:variant>
        <vt:i4>0</vt:i4>
      </vt:variant>
      <vt:variant>
        <vt:i4>5</vt:i4>
      </vt:variant>
      <vt:variant>
        <vt:lpwstr/>
      </vt:variant>
      <vt:variant>
        <vt:lpwstr>_Toc507164995</vt:lpwstr>
      </vt:variant>
      <vt:variant>
        <vt:i4>1769533</vt:i4>
      </vt:variant>
      <vt:variant>
        <vt:i4>44</vt:i4>
      </vt:variant>
      <vt:variant>
        <vt:i4>0</vt:i4>
      </vt:variant>
      <vt:variant>
        <vt:i4>5</vt:i4>
      </vt:variant>
      <vt:variant>
        <vt:lpwstr/>
      </vt:variant>
      <vt:variant>
        <vt:lpwstr>_Toc507164994</vt:lpwstr>
      </vt:variant>
      <vt:variant>
        <vt:i4>1769533</vt:i4>
      </vt:variant>
      <vt:variant>
        <vt:i4>38</vt:i4>
      </vt:variant>
      <vt:variant>
        <vt:i4>0</vt:i4>
      </vt:variant>
      <vt:variant>
        <vt:i4>5</vt:i4>
      </vt:variant>
      <vt:variant>
        <vt:lpwstr/>
      </vt:variant>
      <vt:variant>
        <vt:lpwstr>_Toc507164993</vt:lpwstr>
      </vt:variant>
      <vt:variant>
        <vt:i4>1769533</vt:i4>
      </vt:variant>
      <vt:variant>
        <vt:i4>32</vt:i4>
      </vt:variant>
      <vt:variant>
        <vt:i4>0</vt:i4>
      </vt:variant>
      <vt:variant>
        <vt:i4>5</vt:i4>
      </vt:variant>
      <vt:variant>
        <vt:lpwstr/>
      </vt:variant>
      <vt:variant>
        <vt:lpwstr>_Toc507164992</vt:lpwstr>
      </vt:variant>
      <vt:variant>
        <vt:i4>1769533</vt:i4>
      </vt:variant>
      <vt:variant>
        <vt:i4>26</vt:i4>
      </vt:variant>
      <vt:variant>
        <vt:i4>0</vt:i4>
      </vt:variant>
      <vt:variant>
        <vt:i4>5</vt:i4>
      </vt:variant>
      <vt:variant>
        <vt:lpwstr/>
      </vt:variant>
      <vt:variant>
        <vt:lpwstr>_Toc507164991</vt:lpwstr>
      </vt:variant>
      <vt:variant>
        <vt:i4>1769533</vt:i4>
      </vt:variant>
      <vt:variant>
        <vt:i4>20</vt:i4>
      </vt:variant>
      <vt:variant>
        <vt:i4>0</vt:i4>
      </vt:variant>
      <vt:variant>
        <vt:i4>5</vt:i4>
      </vt:variant>
      <vt:variant>
        <vt:lpwstr/>
      </vt:variant>
      <vt:variant>
        <vt:lpwstr>_Toc507164990</vt:lpwstr>
      </vt:variant>
      <vt:variant>
        <vt:i4>1703997</vt:i4>
      </vt:variant>
      <vt:variant>
        <vt:i4>14</vt:i4>
      </vt:variant>
      <vt:variant>
        <vt:i4>0</vt:i4>
      </vt:variant>
      <vt:variant>
        <vt:i4>5</vt:i4>
      </vt:variant>
      <vt:variant>
        <vt:lpwstr/>
      </vt:variant>
      <vt:variant>
        <vt:lpwstr>_Toc507164989</vt:lpwstr>
      </vt:variant>
      <vt:variant>
        <vt:i4>1703997</vt:i4>
      </vt:variant>
      <vt:variant>
        <vt:i4>8</vt:i4>
      </vt:variant>
      <vt:variant>
        <vt:i4>0</vt:i4>
      </vt:variant>
      <vt:variant>
        <vt:i4>5</vt:i4>
      </vt:variant>
      <vt:variant>
        <vt:lpwstr/>
      </vt:variant>
      <vt:variant>
        <vt:lpwstr>_Toc507164988</vt:lpwstr>
      </vt:variant>
      <vt:variant>
        <vt:i4>2490456</vt:i4>
      </vt:variant>
      <vt:variant>
        <vt:i4>3</vt:i4>
      </vt:variant>
      <vt:variant>
        <vt:i4>0</vt:i4>
      </vt:variant>
      <vt:variant>
        <vt:i4>5</vt:i4>
      </vt:variant>
      <vt:variant>
        <vt:lpwstr>https://www.google.lt/url?sa=i&amp;rct=j&amp;q=&amp;esrc=s&amp;source=images&amp;cd=&amp;cad=rja&amp;uact=8&amp;ved=2ahUKEwjqx8Sh6bnZAhVFhiwKHS13BGwQjRx6BAgAEAY&amp;url=https://alphablues.com/2017/06/19/new-customer-lhv-bank/&amp;psig=AOvVaw3PNf_mh1NaG-6RkpoeVxFl&amp;ust=1519399202469440</vt:lpwstr>
      </vt:variant>
      <vt:variant>
        <vt:lpwstr/>
      </vt:variant>
      <vt:variant>
        <vt:i4>2490456</vt:i4>
      </vt:variant>
      <vt:variant>
        <vt:i4>0</vt:i4>
      </vt:variant>
      <vt:variant>
        <vt:i4>0</vt:i4>
      </vt:variant>
      <vt:variant>
        <vt:i4>5</vt:i4>
      </vt:variant>
      <vt:variant>
        <vt:lpwstr>https://www.google.lt/url?sa=i&amp;rct=j&amp;q=&amp;esrc=s&amp;source=images&amp;cd=&amp;cad=rja&amp;uact=8&amp;ved=2ahUKEwjqx8Sh6bnZAhVFhiwKHS13BGwQjRx6BAgAEAY&amp;url=https://alphablues.com/2017/06/19/new-customer-lhv-bank/&amp;psig=AOvVaw3PNf_mh1NaG-6RkpoeVxFl&amp;ust=1519399202469440</vt:lpwstr>
      </vt:variant>
      <vt:variant>
        <vt:lpwstr/>
      </vt:variant>
      <vt:variant>
        <vt:i4>6946837</vt:i4>
      </vt:variant>
      <vt:variant>
        <vt:i4>0</vt:i4>
      </vt:variant>
      <vt:variant>
        <vt:i4>0</vt:i4>
      </vt:variant>
      <vt:variant>
        <vt:i4>5</vt:i4>
      </vt:variant>
      <vt:variant>
        <vt:lpwstr>https://ec.europa.eu/agriculture/organic/organic-farming/what-is-organic-farming_en</vt:lpwstr>
      </vt:variant>
      <vt:variant>
        <vt:lpwstr/>
      </vt:variant>
      <vt:variant>
        <vt:i4>6553646</vt:i4>
      </vt:variant>
      <vt:variant>
        <vt:i4>0</vt:i4>
      </vt:variant>
      <vt:variant>
        <vt:i4>0</vt:i4>
      </vt:variant>
      <vt:variant>
        <vt:i4>5</vt:i4>
      </vt:variant>
      <vt:variant>
        <vt:lpwstr>https://cns.omxgroup.com/cdsPublic/viewDisclosure.action?disclosureId=822865&amp;messageId=1034349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Prospekto santraukos vertimas (AUGA) (2.4).docx</dc:title>
  <dc:creator>xxx</dc:creator>
  <cp:lastModifiedBy>Inga Lekavičienė</cp:lastModifiedBy>
  <cp:revision>2</cp:revision>
  <cp:lastPrinted>2018-05-03T12:52:00Z</cp:lastPrinted>
  <dcterms:created xsi:type="dcterms:W3CDTF">2018-06-27T12:42:00Z</dcterms:created>
  <dcterms:modified xsi:type="dcterms:W3CDTF">2018-06-27T12:42:00Z</dcterms:modified>
</cp:coreProperties>
</file>